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25.02.2020 N 60-пп</w:t>
              <w:br/>
              <w:t xml:space="preserve">(ред. от 26.04.2021)</w:t>
              <w:br/>
              <w:t xml:space="preserve">"Об утверждении программы Белгородской области "Укрепление общественного здоровья на 2020 - 2024 годы"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25 февраля 2020 г. N 60-пп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УТВЕРЖДЕНИИ ПРОГРАММЫ БЕЛГОРОДСКОЙ ОБЛАСТИ "УКРЕПЛЕНИЕ</w:t>
      </w:r>
    </w:p>
    <w:p>
      <w:pPr>
        <w:pStyle w:val="2"/>
        <w:jc w:val="center"/>
      </w:pPr>
      <w:r>
        <w:rPr>
          <w:sz w:val="20"/>
        </w:rPr>
        <w:t xml:space="preserve">ОБЩЕСТВЕННОГО ЗДОРОВЬЯ НА 2020 - 2024 ГОДЫ"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</w:t>
            </w:r>
            <w:hyperlink w:history="0" r:id="rId7" w:tooltip="Постановление Правительства Белгородской обл. от 26.04.2021 N 152-пп &quot;О внесении изменений в постановление Правительства Белгородской области от 25 февраля 2020 года N 60-пп&quot;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  <w:color w:val="392c69"/>
              </w:rPr>
              <w:t xml:space="preserve">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26.04.2021 N 152-пп)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целях эффективной реализации региональной части федерального проекта "Формирование системы мотивации граждан к здоровому образу жизни, включая - здоровое питание и отказ от вредных привычек" национального проекта "Демография" и достижения целевых показателей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Утвердить </w:t>
      </w:r>
      <w:hyperlink w:history="0" w:anchor="P37" w:tooltip="ПРОГРАММА">
        <w:r>
          <w:rPr>
            <w:sz w:val="20"/>
            <w:color w:val="0000ff"/>
          </w:rPr>
          <w:t xml:space="preserve">программу</w:t>
        </w:r>
      </w:hyperlink>
      <w:r>
        <w:rPr>
          <w:sz w:val="20"/>
        </w:rPr>
        <w:t xml:space="preserve"> Белгородской области "Укрепление общественного здоровья на 2020 - 2024 годы" (далее - Программа) (прилагается).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Финансирование Программы осуществлять за счет средств областного бюджета в пределах ассигнований, утвержденных законом Белгородской области об областном бюджете на соответствующий финансовый год и на плановый период.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Контроль за исполнением постановления возложить на заместителя Губернатора Белгородской области Зубареву Н.Н.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Информацию о ходе исполнения постановления представлять ежегодно к 1 февраля года, следующего за отчетным, начиная с 2021 года.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 Настоящее постановление вступает в силу со дня его официального опубликования.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Е.С.САВЧЕНКО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Утверждена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25 февраля 2020 г. N 60-пп</w:t>
      </w:r>
    </w:p>
    <w:p>
      <w:pPr>
        <w:pStyle w:val="0"/>
        <w:jc w:val="both"/>
      </w:pPr>
      <w:r>
        <w:rPr>
          <w:sz w:val="20"/>
        </w:rPr>
      </w:r>
    </w:p>
    <w:bookmarkStart w:id="37" w:name="P37"/>
    <w:bookmarkEnd w:id="37"/>
    <w:p>
      <w:pPr>
        <w:pStyle w:val="2"/>
        <w:jc w:val="center"/>
      </w:pPr>
      <w:r>
        <w:rPr>
          <w:sz w:val="20"/>
        </w:rPr>
        <w:t xml:space="preserve">ПРОГРАММА</w:t>
      </w:r>
    </w:p>
    <w:p>
      <w:pPr>
        <w:pStyle w:val="2"/>
        <w:jc w:val="center"/>
      </w:pPr>
      <w:r>
        <w:rPr>
          <w:sz w:val="20"/>
        </w:rPr>
        <w:t xml:space="preserve">БЕЛГОРОДСКОЙ ОБЛАСТИ "УКРЕПЛЕНИЕ ОБЩЕСТВЕННОГО</w:t>
      </w:r>
    </w:p>
    <w:p>
      <w:pPr>
        <w:pStyle w:val="2"/>
        <w:jc w:val="center"/>
      </w:pPr>
      <w:r>
        <w:rPr>
          <w:sz w:val="20"/>
        </w:rPr>
        <w:t xml:space="preserve">ЗДОРОВЬЯ НА 2020 - 2024 ГОДЫ"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</w:t>
            </w:r>
            <w:hyperlink w:history="0" r:id="rId8" w:tooltip="Постановление Правительства Белгородской обл. от 26.04.2021 N 152-пп &quot;О внесении изменений в постановление Правительства Белгородской области от 25 февраля 2020 года N 60-пп&quot;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  <w:color w:val="392c69"/>
              </w:rPr>
              <w:t xml:space="preserve">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26.04.2021 N 152-пп)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97"/>
        <w:gridCol w:w="2246"/>
        <w:gridCol w:w="6350"/>
      </w:tblGrid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2246" w:type="dxa"/>
          </w:tcPr>
          <w:p>
            <w:pPr>
              <w:pStyle w:val="0"/>
            </w:pPr>
            <w:r>
              <w:rPr>
                <w:sz w:val="20"/>
              </w:rPr>
              <w:t xml:space="preserve">Наименование программы</w:t>
            </w:r>
          </w:p>
        </w:tc>
        <w:tc>
          <w:tcPr>
            <w:tcW w:w="635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"Укрепление общественного здоровья на 2020 - 2024 годы" (далее - Программа)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2246" w:type="dxa"/>
          </w:tcPr>
          <w:p>
            <w:pPr>
              <w:pStyle w:val="0"/>
            </w:pPr>
            <w:r>
              <w:rPr>
                <w:sz w:val="20"/>
              </w:rPr>
              <w:t xml:space="preserve">Ответственный исполнитель Программы</w:t>
            </w:r>
          </w:p>
        </w:tc>
        <w:tc>
          <w:tcPr>
            <w:tcW w:w="635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Департамент здравоохранения и социальной защиты населения Белгородской области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</w:t>
            </w:r>
          </w:p>
        </w:tc>
        <w:tc>
          <w:tcPr>
            <w:tcW w:w="2246" w:type="dxa"/>
          </w:tcPr>
          <w:p>
            <w:pPr>
              <w:pStyle w:val="0"/>
            </w:pPr>
            <w:r>
              <w:rPr>
                <w:sz w:val="20"/>
              </w:rPr>
              <w:t xml:space="preserve">Ф.И.О., должность руководителя, ответственного исполнителя Программы</w:t>
            </w:r>
          </w:p>
        </w:tc>
        <w:tc>
          <w:tcPr>
            <w:tcW w:w="635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Крылова Людмила Степановна - первый заместитель начальника департамента здравоохранения и социальной защиты населения Белгородской области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</w:t>
            </w:r>
          </w:p>
        </w:tc>
        <w:tc>
          <w:tcPr>
            <w:tcW w:w="2246" w:type="dxa"/>
          </w:tcPr>
          <w:p>
            <w:pPr>
              <w:pStyle w:val="0"/>
            </w:pPr>
            <w:r>
              <w:rPr>
                <w:sz w:val="20"/>
              </w:rPr>
              <w:t xml:space="preserve">Наименование подпрограммы государственной программы Белгородской области</w:t>
            </w:r>
          </w:p>
        </w:tc>
        <w:tc>
          <w:tcPr>
            <w:tcW w:w="6350" w:type="dxa"/>
          </w:tcPr>
          <w:p>
            <w:pPr>
              <w:pStyle w:val="0"/>
              <w:jc w:val="both"/>
            </w:pPr>
            <w:hyperlink w:history="0" r:id="rId9" w:tooltip="Постановление Правительства Белгородской обл. от 16.12.2013 N 524-пп (ред. от 25.12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      <w:r>
                <w:rPr>
                  <w:sz w:val="20"/>
                  <w:color w:val="0000ff"/>
                </w:rPr>
                <w:t xml:space="preserve">Подпрограмма 1</w:t>
              </w:r>
            </w:hyperlink>
            <w:r>
              <w:rPr>
                <w:sz w:val="20"/>
              </w:rPr>
              <w:t xml:space="preserve"> "Профилактика заболеваний и формирование здорового образа жизни" государственной программы Белгородской области "Развитие здравоохранения Белгородской области", утвержденной постановлением Правительства Белгородской области от 16 декабря 2013 года N 524-пп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</w:t>
            </w:r>
          </w:p>
        </w:tc>
        <w:tc>
          <w:tcPr>
            <w:tcW w:w="2246" w:type="dxa"/>
          </w:tcPr>
          <w:p>
            <w:pPr>
              <w:pStyle w:val="0"/>
            </w:pPr>
            <w:r>
              <w:rPr>
                <w:sz w:val="20"/>
              </w:rPr>
              <w:t xml:space="preserve">Цель Программы</w:t>
            </w:r>
          </w:p>
        </w:tc>
        <w:tc>
          <w:tcPr>
            <w:tcW w:w="635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Обеспечение увеличения доли граждан, ведущих здоровый образ жизни, к 2024 году до 55 процентов за счет формирования среды, способствующей ведению здорового образа жизни, включая здоровое питание, защиту от табачного дыма, снижение потребления алкоголя; а также за счет мотивирования граждан к ведению здорового образа жизни посредством информационно-коммуникационной кампании, вовлечения граждан и некоммерческих организаций в мероприятия по укреплению общественного здоровья, разработки и внедрения корпоративных программ укрепления здоровья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2246" w:type="dxa"/>
          </w:tcPr>
          <w:p>
            <w:pPr>
              <w:pStyle w:val="0"/>
            </w:pPr>
            <w:r>
              <w:rPr>
                <w:sz w:val="20"/>
              </w:rPr>
              <w:t xml:space="preserve">Задачи Программы</w:t>
            </w:r>
          </w:p>
        </w:tc>
        <w:tc>
          <w:tcPr>
            <w:tcW w:w="635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1. Развитие инфраструктуры общественного здоровья, повышение обеспеченности кадрами в сфере общественного здоровья.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2. Разработка и внедрение муниципальных программ общественного здоровья.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3. Мотивирование граждан к ведению здорового образа жизни посредством проведения информационно-коммуникационной кампании, а также вовлечения граждан и некоммерческих организаций в мероприятия по укреплению общественного здоровья.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4. Разработка и внедрение корпоративных программ укрепления здоровья на рабочем месте (корпоративных программ укрепления здоровья).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5. Формирование среды, способствующей ведению гражданами здорового образа жизни, включая здоровое питание (в том числе ликвидация микронутриентной недостаточности, сокращение потребления соли и сахара), защиту от табачного дыма, снижение потребления алкоголя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</w:t>
            </w:r>
          </w:p>
        </w:tc>
        <w:tc>
          <w:tcPr>
            <w:tcW w:w="2246" w:type="dxa"/>
          </w:tcPr>
          <w:p>
            <w:pPr>
              <w:pStyle w:val="0"/>
            </w:pPr>
            <w:r>
              <w:rPr>
                <w:sz w:val="20"/>
              </w:rPr>
              <w:t xml:space="preserve">Сроки реализации Программы</w:t>
            </w:r>
          </w:p>
        </w:tc>
        <w:tc>
          <w:tcPr>
            <w:tcW w:w="635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Срок реализации Программы: 2020 - 2024 годы</w:t>
            </w:r>
          </w:p>
        </w:tc>
      </w:tr>
      <w:tr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</w:t>
            </w:r>
          </w:p>
        </w:tc>
        <w:tc>
          <w:tcPr>
            <w:tcW w:w="2246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Целевые индикаторы реализации Программы</w:t>
            </w:r>
          </w:p>
        </w:tc>
        <w:tc>
          <w:tcPr>
            <w:tcW w:w="6350" w:type="dxa"/>
            <w:tcBorders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Розничные продажи алкогольной продукции на душу населения (в литрах):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2019 год - 4,9;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2020 год - 4,9;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2021 год - 4,8;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2022 год - 4,8;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2023 год - 4,7;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2024 год - 4,6.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Розничная продажа сигарет и папирос на душу населения (тысяч штук):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2019 год - 1,8;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2020 год - 1,7;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2021 год - 1,6;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2022 год - 1,4;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2023 год - 1,3;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2024 год - 1,15.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Смертность мужчин трудоспособного возраста на 100 тыс. населения (случаев):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2019 год - 631;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2020 год - 614,4;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2021 год - 582,0;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2022 год - 560,0;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2023 год - 538,0;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2024 год - 492,0.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Смертность женщин трудоспособного возраста на 100 тыс. населения (случаев):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2019 год - 155,8;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2020 год - 152,0;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2021 год - 149,0;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2022 год - 148,0;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2023 год - 147,0;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2024 год - 146,0.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Смертность от всех причин на 1 тыс. человек населения (случаев):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2019 год - 13,1;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2020 год - 12,9;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2021 год - 12,7;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2022 год - 12,4;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2023 год - 12,1;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2024 год - 11,7.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Охват мероприятиями по диспансеризации взрослого населения области от числа подлежащих диспансеризации (процентов):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2019 год - 100,0;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2020 год - 98,0;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2021 год - 98,0;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2022 год - 98,0;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2023 год - 98,0;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2024 год - 98,0.</w:t>
            </w:r>
          </w:p>
        </w:tc>
      </w:tr>
      <w:tr>
        <w:tblPrEx>
          <w:tblBorders>
            <w:insideH w:val="nil"/>
          </w:tblBorders>
        </w:tblPrEx>
        <w:tc>
          <w:tcPr>
            <w:tcW w:w="397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2246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6350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Проведение индивидуального или группового (школы для пациентов) углубленного профилактического консультирования в отделении (кабинете) медицинской профилактики (центре здоровья) для нуждающихся граждан по результатам диспансеризации взрослого населения (процент от нуждающихся):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2020 год - 60,0;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2021 год - 65,0;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2022 год - 70,0;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2023 год - 75,0;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2024 год - 80,0.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Число лиц, которым рекомендованы индивидуальные планы по здоровому образу жизни (паспорта здоровья) в центрах здоровья: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2019 год - 41676;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2020 год - 44000;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2021 год - 47000;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2022 год - 50000;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2023 год - 53000;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2024 год - 55000.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Темпы прироста первичной заболеваемости ожирением (проценты):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2019 год - 14;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2020 год - 13,8;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2021 год - 13,7;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2022 год - 13,4;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2023 год - 13,0;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2024 год - 11,8.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Количество работающих граждан, вовлеченных в реализацию корпоративных программ (тысяч человек):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2020 год - 20;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2021 год - 40;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2022 год - 60;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2023 год - 80;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2024 год - 100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1. Введение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Достижение хорошего здоровья в современных условиях нельзя больше рассматривать как результат работы лишь одной отрасли: устойчивое улучшение здоровья людей - это итог реализации эффективной совместной политики, охватывающей все компоненты государственного управления, а также коллективные организованные усилия всего общества. Вовлечение и поддержка гражданского общества во всем его многообразии имеет ключевое значение. Современная концепция общественного здравоохранения включает в себя профилактику болезней, воздействие на социальные, экономические, экологические и поведенческие детерминанты здоровья, мобилизацию общества, межведомственное, межсекторальное взаимодействие, создание единой профилактической среды, включение цели охраны здоровья в общий процесс социально-экономического развития общества и его человеческого потенциала (Стародубов В.И., Сон И.М., Евдаков В.А. и другие, 2019 год).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Региональная программа "Формирование системы мотивации граждан к здоровому образу жизни, включая здоровое питание и отказ от вредных привычек (Укрепление общественного здоровья)" разработана в соответствии с </w:t>
      </w:r>
      <w:hyperlink w:history="0" r:id="rId10" w:tooltip="&quot;Конституция Российской Федерации&quot; (принята всенародным голосованием 12.12.1993 с изменениями, одобренными в ходе общероссийского голосования 01.07.2020) {КонсультантПлюс}">
        <w:r>
          <w:rPr>
            <w:sz w:val="20"/>
            <w:color w:val="0000ff"/>
          </w:rPr>
          <w:t xml:space="preserve">Конституцией</w:t>
        </w:r>
      </w:hyperlink>
      <w:r>
        <w:rPr>
          <w:sz w:val="20"/>
        </w:rPr>
        <w:t xml:space="preserve"> Российской Федерации, руководствуясь Стратегией национальной безопасности Российской Федерации до 2025 года, учитывая Концепцию демографической политики Российской Федерации на период до 2025 года, Концепцию развития системы здравоохранения в Российской Федерации до 2025 года и Стратегию формирования здорового образа жизни населения, профилактики и контроля неинфекционных заболеваний на период до 2025 года.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Программа призвана объединить усилия органов Государственной власти, органов местного самоуправления, общественных организаций и граждан в решении вопросов формирования здорового образа жизни и профилактики заболеваний для обеспечения физического и духовно-нравственного здоровья населения области.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2. Общая характеристика</w:t>
      </w:r>
    </w:p>
    <w:p>
      <w:pPr>
        <w:pStyle w:val="0"/>
        <w:jc w:val="center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2.1. Географические характеристики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Площадь Белгородской области составляет 27,1 тыс. кв. км, протяженность с севера на юг - около 190 км, с запада на восток около 270 км. На юге и западе она граничит с Луганской, Харьковской и Сумской областями Украины, на севере и северо-западе - с Курской областью, на востоке - с Воронежской областью. Общая протяженность границ - около 1150 км, из них с Украиной - 540 км. Административный центр - город Белгород расположен в 695 км к югу от Москвы. Карта административного деления Белгородской области представлена на рисунке 1 (не приводится).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3"/>
        <w:jc w:val="center"/>
      </w:pPr>
      <w:r>
        <w:rPr>
          <w:sz w:val="20"/>
        </w:rPr>
        <w:t xml:space="preserve">Рисунок 1. Карта административного</w:t>
      </w:r>
    </w:p>
    <w:p>
      <w:pPr>
        <w:pStyle w:val="2"/>
        <w:jc w:val="center"/>
      </w:pPr>
      <w:r>
        <w:rPr>
          <w:sz w:val="20"/>
        </w:rPr>
        <w:t xml:space="preserve">деления Белгородской области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Рисунок не приводится.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2.2. Демографические характеристики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состав Белгородской области входят 13 муниципальных районов, 9 городских округов, 25 городских и 260 сельских поселений. Численность населения Белгородской области за десятилетний период возросла с 1509976 человек до 1547418 человек (по состоянию на 1 января 2019 года), в том числе 1043792 человек городского и 503626 человек сельского населения. Мужчины составляют 41,6 процента от общей численности населения, а женщины - 53,9 процента </w:t>
      </w:r>
      <w:hyperlink w:history="0" w:anchor="P168" w:tooltip="Население Белгородской области на 1 января 2019 года">
        <w:r>
          <w:rPr>
            <w:sz w:val="20"/>
            <w:color w:val="0000ff"/>
          </w:rPr>
          <w:t xml:space="preserve">(таблица 1)</w:t>
        </w:r>
      </w:hyperlink>
      <w:r>
        <w:rPr>
          <w:sz w:val="20"/>
        </w:rPr>
        <w:t xml:space="preserve">. За этот же период количество лиц моложе трудоспособного возраста (дети до 18 лет) уменьшилось с 286070 человек до 258487 человек, и на 1 января 2019 года мужчины моложе трудоспособного возраста составляют 132804 человека, женщины - 125683 человека.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Общее количество лиц трудоспособного возраста за 10 лет изменилось незначительно - с 870987 человек до 872415 человек. Число лиц старше трудоспособного возраста за указанный период возросло с 349919 человек до 421963 человек, что составляет рост на 27 процентов.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течение последних десятилетий в мире происходит глобальное старение населения. Демографическая ситуация в Белгородской области, как и в Российской Федерации в целом, не является исключением.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 состоянию на 1 января 2019 года в Белгородской области проживает 421963 человека старше трудоспособного возраста, что составляет одну треть от общей численности населения (1547418 человек).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3"/>
        <w:jc w:val="right"/>
      </w:pPr>
      <w:r>
        <w:rPr>
          <w:sz w:val="20"/>
        </w:rPr>
        <w:t xml:space="preserve">Таблица 1</w:t>
      </w:r>
    </w:p>
    <w:p>
      <w:pPr>
        <w:pStyle w:val="0"/>
        <w:jc w:val="both"/>
      </w:pPr>
      <w:r>
        <w:rPr>
          <w:sz w:val="20"/>
        </w:rPr>
      </w:r>
    </w:p>
    <w:bookmarkStart w:id="168" w:name="P168"/>
    <w:bookmarkEnd w:id="168"/>
    <w:p>
      <w:pPr>
        <w:pStyle w:val="2"/>
        <w:jc w:val="center"/>
      </w:pPr>
      <w:r>
        <w:rPr>
          <w:sz w:val="20"/>
        </w:rPr>
        <w:t xml:space="preserve">Население Белгородской области на 1 января 2019 года</w:t>
      </w:r>
    </w:p>
    <w:p>
      <w:pPr>
        <w:pStyle w:val="0"/>
        <w:jc w:val="both"/>
      </w:pPr>
      <w:r>
        <w:rPr>
          <w:sz w:val="20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345"/>
        <w:gridCol w:w="964"/>
        <w:gridCol w:w="964"/>
        <w:gridCol w:w="844"/>
        <w:gridCol w:w="964"/>
        <w:gridCol w:w="844"/>
        <w:gridCol w:w="844"/>
        <w:gridCol w:w="844"/>
        <w:gridCol w:w="844"/>
        <w:gridCol w:w="724"/>
        <w:gridCol w:w="850"/>
        <w:gridCol w:w="850"/>
        <w:gridCol w:w="724"/>
      </w:tblGrid>
      <w:tr>
        <w:tc>
          <w:tcPr>
            <w:tcW w:w="3345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gridSpan w:val="3"/>
            <w:tcW w:w="277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Все население (взрослые и дети 0 - 17 лет) (человек)</w:t>
            </w:r>
          </w:p>
        </w:tc>
        <w:tc>
          <w:tcPr>
            <w:gridSpan w:val="3"/>
            <w:tcW w:w="26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Взрослые 18 лет и старше (человек)</w:t>
            </w:r>
          </w:p>
        </w:tc>
        <w:tc>
          <w:tcPr>
            <w:gridSpan w:val="3"/>
            <w:tcW w:w="241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Дети 0 - 14 лет (человек)</w:t>
            </w:r>
          </w:p>
        </w:tc>
        <w:tc>
          <w:tcPr>
            <w:gridSpan w:val="3"/>
            <w:tcW w:w="24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Дети подросткового возраста 15 - 17 лет (человек)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Все население</w:t>
            </w:r>
          </w:p>
        </w:tc>
        <w:tc>
          <w:tcPr>
            <w:gridSpan w:val="2"/>
            <w:tcW w:w="180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 том числе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Все население</w:t>
            </w:r>
          </w:p>
        </w:tc>
        <w:tc>
          <w:tcPr>
            <w:gridSpan w:val="2"/>
            <w:tcW w:w="16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 том числе</w:t>
            </w:r>
          </w:p>
        </w:tc>
        <w:tc>
          <w:tcPr>
            <w:tcW w:w="84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Все население</w:t>
            </w:r>
          </w:p>
        </w:tc>
        <w:tc>
          <w:tcPr>
            <w:gridSpan w:val="2"/>
            <w:tcW w:w="15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 том числе</w:t>
            </w:r>
          </w:p>
        </w:tc>
        <w:tc>
          <w:tcPr>
            <w:tcW w:w="85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Всего населения</w:t>
            </w:r>
          </w:p>
        </w:tc>
        <w:tc>
          <w:tcPr>
            <w:gridSpan w:val="2"/>
            <w:tcW w:w="15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 том числе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городское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сельское</w:t>
            </w:r>
          </w:p>
        </w:tc>
        <w:tc>
          <w:tcPr>
            <w:vMerge w:val="continue"/>
          </w:tcPr>
          <w:p/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городское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сельское</w:t>
            </w:r>
          </w:p>
        </w:tc>
        <w:tc>
          <w:tcPr>
            <w:vMerge w:val="continue"/>
          </w:tcPr>
          <w:p/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городское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сельское</w:t>
            </w:r>
          </w:p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городское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сельское</w:t>
            </w:r>
          </w:p>
        </w:tc>
      </w:tr>
      <w:tr>
        <w:tc>
          <w:tcPr>
            <w:tcW w:w="3345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Белгородская область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1547418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1043792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503626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1258185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846117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412068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247368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169316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78052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41865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28359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13506</w:t>
            </w:r>
          </w:p>
        </w:tc>
      </w:tr>
      <w:tr>
        <w:tc>
          <w:tcPr>
            <w:tcW w:w="3345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город Белгород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60846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392426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320436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320436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61955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61955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10035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10035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tcW w:w="3345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124339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38179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22667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49137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30804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18333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10022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6313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3709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1687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1062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625</w:t>
            </w:r>
          </w:p>
        </w:tc>
      </w:tr>
      <w:tr>
        <w:tc>
          <w:tcPr>
            <w:tcW w:w="3345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25218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38422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85917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100379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30669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69710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20753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6691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14062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3207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1062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2145</w:t>
            </w:r>
          </w:p>
        </w:tc>
      </w:tr>
      <w:tr>
        <w:tc>
          <w:tcPr>
            <w:tcW w:w="3345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Борисовский район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65654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13497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11721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20702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11062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9640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3852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2058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1794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664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377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287</w:t>
            </w:r>
          </w:p>
        </w:tc>
      </w:tr>
      <w:tr>
        <w:tc>
          <w:tcPr>
            <w:tcW w:w="3345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18910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40990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24664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53705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33524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20181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10123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6295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3828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1826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1171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655</w:t>
            </w:r>
          </w:p>
        </w:tc>
      </w:tr>
      <w:tr>
        <w:tc>
          <w:tcPr>
            <w:tcW w:w="3345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29674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6365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12545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15265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5033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10232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3075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1124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1951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570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362,</w:t>
            </w:r>
          </w:p>
        </w:tc>
      </w:tr>
      <w:tr>
        <w:tc>
          <w:tcPr>
            <w:tcW w:w="3345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29636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14510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15164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24318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11824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12494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4585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2337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2248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771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349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422</w:t>
            </w:r>
          </w:p>
        </w:tc>
      </w:tr>
      <w:tr>
        <w:tc>
          <w:tcPr>
            <w:tcW w:w="3345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29636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6431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23205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24026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5230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18796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4740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1014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3726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870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683</w:t>
            </w:r>
          </w:p>
        </w:tc>
      </w:tr>
      <w:tr>
        <w:tc>
          <w:tcPr>
            <w:tcW w:w="3345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117017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86422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30595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96541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71200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25341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17384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12948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4436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3092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2274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818</w:t>
            </w:r>
          </w:p>
        </w:tc>
      </w:tr>
      <w:tr>
        <w:tc>
          <w:tcPr>
            <w:tcW w:w="3345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Ивнянский район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21380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7194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14186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17306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5780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11526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3441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1192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2249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633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222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411</w:t>
            </w:r>
          </w:p>
        </w:tc>
      </w:tr>
      <w:tr>
        <w:tc>
          <w:tcPr>
            <w:tcW w:w="3345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39470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5843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33627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32470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4797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27673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5976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881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5095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1024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165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859</w:t>
            </w:r>
          </w:p>
        </w:tc>
      </w:tr>
      <w:tr>
        <w:tc>
          <w:tcPr>
            <w:tcW w:w="3345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Красненский район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11563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11563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9543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9543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1687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1687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333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333</w:t>
            </w:r>
          </w:p>
        </w:tc>
      </w:tr>
      <w:tr>
        <w:tc>
          <w:tcPr>
            <w:tcW w:w="3345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36539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7276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29263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30365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5841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24524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5209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1231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3978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761</w:t>
            </w:r>
          </w:p>
        </w:tc>
      </w:tr>
      <w:tr>
        <w:tc>
          <w:tcPr>
            <w:tcW w:w="3345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Краснояружский район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14376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7967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6409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11261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6220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5041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2652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1468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1184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463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279.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184</w:t>
            </w:r>
          </w:p>
        </w:tc>
      </w:tr>
      <w:tr>
        <w:tc>
          <w:tcPr>
            <w:tcW w:w="3345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40594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18538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22056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33263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15044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18219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6220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2967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3253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1111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527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584</w:t>
            </w:r>
          </w:p>
        </w:tc>
      </w:tr>
      <w:tr>
        <w:tc>
          <w:tcPr>
            <w:tcW w:w="3345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26904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9092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17812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21834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7302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14532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4340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1554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2786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730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236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494</w:t>
            </w:r>
          </w:p>
        </w:tc>
      </w:tr>
      <w:tr>
        <w:tc>
          <w:tcPr>
            <w:tcW w:w="3345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34392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19313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15079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27476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15379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12097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5886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3358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2528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1030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576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454</w:t>
            </w:r>
          </w:p>
        </w:tc>
      </w:tr>
      <w:tr>
        <w:tc>
          <w:tcPr>
            <w:tcW w:w="3345" w:type="dxa"/>
          </w:tcPr>
          <w:p>
            <w:pPr>
              <w:pStyle w:val="0"/>
            </w:pPr>
            <w:r>
              <w:rPr>
                <w:sz w:val="20"/>
              </w:rPr>
              <w:t xml:space="preserve">Ровеньский район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23655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10827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12838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18920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8395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10525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4076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2128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1948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669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304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365</w:t>
            </w:r>
          </w:p>
        </w:tc>
      </w:tr>
      <w:tr>
        <w:tc>
          <w:tcPr>
            <w:tcW w:w="3345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259811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223809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36002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208933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179097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29836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43547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38261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5286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7331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6451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880</w:t>
            </w:r>
          </w:p>
        </w:tc>
      </w:tr>
      <w:tr>
        <w:tc>
          <w:tcPr>
            <w:tcW w:w="3345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31026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14870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16156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24843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11833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13010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5275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2558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2717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908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479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429</w:t>
            </w:r>
          </w:p>
        </w:tc>
      </w:tr>
      <w:tr>
        <w:tc>
          <w:tcPr>
            <w:tcW w:w="3345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87944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47390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40554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72274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38975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33299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13265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7192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6073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1223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1182</w:t>
            </w:r>
          </w:p>
        </w:tc>
      </w:tr>
      <w:tr>
        <w:tc>
          <w:tcPr>
            <w:tcW w:w="3345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56034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34431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21603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45188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27672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17516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9305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5791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3514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1541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968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573</w:t>
            </w:r>
          </w:p>
        </w:tc>
      </w:tr>
    </w:tbl>
    <w:p>
      <w:pPr>
        <w:sectPr>
          <w:headerReference w:type="default" r:id="rId11"/>
          <w:headerReference w:type="first" r:id="rId11"/>
          <w:footerReference w:type="default" r:id="rId12"/>
          <w:footerReference w:type="first" r:id="rId12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Белгородской области доля лиц старше трудоспособного возраста за последние 10 лет увеличилась с 23,8 процента до 27,7 процента.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Сложившаяся тенденция в возрастной структуре населения Белгородской области находит свое отражение в показателе демографической нагрузки, который в последние 10 лет растет (с 370 до 484 человек старше трудоспособного возраста на 1000 человек трудоспособного возраста).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Естественный прирост населения за десятилетний период на 1000 человек уменьшился с 7,5 процента до 3,8 процента (в абсолютных цифрах - с 11190 человек до 5828 человек), а миграционный прирост за аналогичный период составил в 2008 году 10,9 процента на 1000 человек, в 2018 году - 1,8 процента на 1000 человек. Плотность населения в 2008 году в Белгородской области составляла 57,23 человека на квадратный километр, а в 2019 году снизилась на 0,35 процента и составила 57,03 человека на квадратный километр.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2018 году рождаемость в области уменьшилась на 4,1 процента и показатель составил 9,3 процента на 1000 населения (в 2017 году - 9,7), в Российской Федерации - 10,9. Самые высокие показатели рождаемости сложились: в Белгородском районе - 11,9; в Яковлевском городском округе - 10,2; в Борисовском районе - 10,0; в Чернянском районе - 9,7; в Алексеевском городском округе и Краснояружском районе - 9,6. Ниже среднего показателя по области этот показатель: в Красногвардейском районе - 7,1; в Красненском районе - 7,4; в Грайворонском городском округе - 7,7; в Волоконовском районе - 7,8; в Губкинском городском округе и Новооскольском городском округе - 8,3; в Корочанском районе - 8,5; Валуйском городском округе - 8,6; в Ровеньском районе - 8,7 и Ракитянском районе - 8,8; в Шебекинском городском округе - 8,9.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3. Заболеваемость и смертность от неинфекционных заболеваний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Показатель общей заболеваемости взрослого населения в 2018 году увеличился на 3,9 процента и составил 158978,8 на 100000 взрослого населения (в 2017 году - 152960,6), в Российской Федерации - 146155,0. Рост показателя общей заболеваемости взрослого населения области произошел за счет роста в Вейделевском, Ровеньском, Волоконовском районах и Грайворонском городском округе.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Выше среднего по области этот показатель в следующих районах: Красненском - 236577,4; Прохоровском - 232227,7; Белгородском - 193773,8; Вейделевском - 177349,9; Краснояружском - 175493,8; город Белгород - 169804,2 и Шебекинский городской округ - 167811,9.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Рост показателя общей заболеваемости взрослого населения области отмечался по следующим классам (значение показателя, в процентах):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болезни кожи и подкожной клетчатки - 45,7;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болезни системы кровообращения - 10,0;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некоторые инфекционные и паразитарные болезни - 9,3;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болезни крови и кроветворных органов - 8,0;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болезни эндокринной системы, расстройства питания и нарушения обмена веществ - 7,9;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психические расстройства и расстройства поведения - 5,9;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болезни органов пищеварения - 5,1;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новообразования - 3,8.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 этом фоне имело место снижение уровня общей заболеваемости взрослого населения в Корочанском, Борисовском и Красненском районах.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Ниже среднего по области этот показатель: в Борисовском - 89646,2, Ракитянском - 97690,8, Красногвардейском - 106156,3, Корочанском - 109486,7 районах, Грайворонском - 119105,6 и Новооскольском - 119186,0 городских округах, Волоконовском - 132217,0 и Ивнянском - 134192,8 районах, Валуйском - 132232,5 и Яковлевском - 139576,5 городских округах.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Снижение отмечено по следующим классам (значение показателя, в процентах):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врожденные аномалии (пороки развития), деформации и хромосомные нарушения - 7,0;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болезни глаза и его придаточного аппарата - 5,9;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травмы, отравления, и некоторые другие последствия воздействия внешних причин - 3,6.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Заболеваемость взрослого населения с диагнозом, установленным впервые в жизни, в 2018 году по сравнению с уровнем предыдущего года увеличилась на 2,2 процента и показатель составил 53569,4 (в 2017 году - 52396,9), в Российской Федерации - 54503,2.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Выше среднего по области этот показатель в ряде муниципальных образований: Яковлевском - 87365,3, Алексеевском - 58232,9 и Старооскольском - 74621,8 городских округах, Ровеньском - 66208,8, Вейделевском - 59348,1, Красненском районе - 58474,5.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Рост имел место по следующим классам (значение показателя, в процентах):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болезни кожи и подкожной клетчатки - 70,0;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некоторые инфекционные и паразитарные болезни - 25,7;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болезни нервной системы - 16,8;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психические расстройства и расстройства поведения - 13,1;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врожденные аномалии (пороки развития), деформации и хромосомные нарушения - 8,7;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болезни органов пищеварения - 4,9;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болезни эндокринной системы, расстройства питания и нарушения обмена веществ - 4,1.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Наряду с этим ниже среднего по области этот показатель в следующих муниципальных образованиях: Борисовском - 21687,7, Корочанском - 28060,6, Красногвардейском - 35372,3 районах, Новооскольском - 34501,1, Валуйском - 30835,3 и Грайворонском - 37310,0 городских округах, Волоконовском - 37436,7 и Прохоровском районах - 40058,0.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Снижение заболеваемости зарегистрировано по следующим классам (значение показателя, в процентах):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болезни крови и кроветворных органов - 10,0;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болезни глаза и его придаточного аппарата - 8,9;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травмы, отравления и некоторые другие последствия воздействия внешних причин - 3,6;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болезни уха и сосцевидного отростка - 3,1.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Анализ структуры общей заболеваемости больных пожилого и старческого возраста за 2018 год показывает, что наиболее часто встречаются заболевания сердечно-сосудистой системы (70257 на 100 тысяч населения), костно-мышечной системы и соединительной ткани (22715 на 100 тысяч населения), дыхательной системы (17736 на 100 тысяч населения), эндокринной системы (13838 на 100 тысяч населения), болезни глаза и его придаточного аппарата (13415 на 100 тысяч населения), мочеполовой системы (11622 на 100 тысяч населения), пищеварительной системы (11070 на 100 тысяч населения) и онкологические заболевания (8268 на 100 тысяч населения) (рисунок 2 - не приводится). Аналогичная структура заболеваемости больных пожилого и старческого возраста прослеживается последние 10 лет.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Следует отметить, что в структуре общей заболеваемости за последние 10 лет увеличивается процент лиц старше трудоспособного возраста, страдающих болезнями крови и кроветворных органов, на 56 процентов; эндокринной системы, расстройства питания и нарушения обмена веществ - на 12,4 процента, а также отмечается незначительный рост заболеваемости новообразованиями - на 3,35 процента.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Рисунок 2. Динамика заболеваемости по основным причинам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Рисунок не приводится.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то же время, несколько иная динамика заболеваемости выявлена при анализе частоты других патологий: за последние 10 лет отмечается стойкое снижение заболеваемости болезнями глаза и придаточного аппарата глаза - на 35 процентов, нервной системы - на 28,5 процента, органов пищеварения - на 27,7 процента, уха и сосцевидного отростка - на 15,2 процента, костно-мышечной системы и соединительной ткани - на 13,3 процента, психических расстройств - на 12,5 процента, органов дыхания - на 11,2 процента, мочеполовой системы - на 10,5 процента, кожи, подкожной клетчатки - на 8,2 процента, травм, отравлений и других последствий воздействия внешних причин - на 7,1 процента. Однако, эти данные условно свидетельствуют о снижении частоты заболеваемости, так как отмечается постарение населения - доля лиц старше трудоспособного возраста за последние 10 лет увеличилась с 23,8 процента до 27,7 процента.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Наиболее актуальной проблемой остается заболеваемость болезнями кровообращения, в частности ишемической болезнью сердца и гипертонической болезнью, так как в основном, именно осложнения этих болезней обусловливают высокую смертность. В группе пожилых пациентов частота сердечно-сосудистых заболеваний последние 10 лет остается стабильно высокой.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Отмечается тенденция к снижению как общей, так и первичной заболеваемости болезнями костно-мышечной системы и соединительной ткани, однако заболевания этой группы занимают второе место после сердечно-сосудистых и продолжают относиться к разряду широко распространенных среди людей старшего поколения. Болезни костно-мышечной системы и соединительной ткани снижают их функциональную активность, способность к самообслуживанию и значительно повышают риск падений и переломов, которые влекут за собой существенную медикосоциальную (рост заболеваемости, инвалидности, смертности) и экономическую нагрузку (затраты на лечение переломов и реабилитацию, оплата пособий по временной и постоянной нетрудоспособности, расходы социальных служб) для общества. Такие пациенты являются маломобильными и нуждаются не только в использовании вспомогательных средств при ходьбе, таких как трости или ходунки, но и в дополнительных мерах социального обслуживания, адаптации транспортной системы, городской среды и прочее.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Заболеваемость сахарным диабетом в области продолжает неуклонно расти. Наличие сахарного диабета 2 типа резко увеличивает риск инвалидизации пациентов и оказывает значительное негативное влияние на качество жизни. Больные диабетом пожилые люди в 2 раза чаще становятся физически слабыми и имеют повышенный риск развития деменции, падений и переломов бедра, развития диабетических осложнений и повышения смертности.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 результатам анализа показателей освидетельствований среди взрослого населения необходимо отметить, что наметилась небольшая тенденция к снижению объема как первичного (в 2016 году - 8650 человек, в 2017 году - 8612 человек, в 2018 году - 8124 человека), так и повторного выхода на инвалидность (в 2016 году - 22711 человек, в 2017 году - 22179 человек, в 2018 году - 21649 человек).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2018 году отмечено увеличение инвалидности лиц старше трудоспособного возраста среди женщин - на 4,24 процента, среди мужчин - на 13,7 процента.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Анализ распределения лиц по группам инвалидности показывает, что у лиц трудоспособного возраста преобладает III группа инвалидности - 61,2 процента (различия между городом и селом незначительные).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 лиц старше трудоспособного возраста преобладают более тяжелые группы инвалидности (I и II) - 56,2 процента (в городской местности - 55,9 процента, в сельской - 57,2 процента) </w:t>
      </w:r>
      <w:hyperlink w:history="0" w:anchor="P550" w:tooltip="Распределение лиц, впервые признанных инвалидами среди">
        <w:r>
          <w:rPr>
            <w:sz w:val="20"/>
            <w:color w:val="0000ff"/>
          </w:rPr>
          <w:t xml:space="preserve">(таблица 2)</w:t>
        </w:r>
      </w:hyperlink>
      <w:r>
        <w:rPr>
          <w:sz w:val="20"/>
        </w:rPr>
        <w:t xml:space="preserve">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Наибольшее число составляют лица, ставшие инвалидами вследствие общего заболевания - 96,6 процента (6626 человек) </w:t>
      </w:r>
      <w:hyperlink w:history="0" w:anchor="P640" w:tooltip="Распределение лиц, впервые признанных инвалидами">
        <w:r>
          <w:rPr>
            <w:sz w:val="20"/>
            <w:color w:val="0000ff"/>
          </w:rPr>
          <w:t xml:space="preserve">(таблица 3)</w:t>
        </w:r>
      </w:hyperlink>
      <w:r>
        <w:rPr>
          <w:sz w:val="20"/>
        </w:rPr>
        <w:t xml:space="preserve">, 0,4 процента (26 человек) - инвалиды вследствие трудового увечья и профессионального заболевания; 2,2 процента (155 человек) - инвалиды из числа бывших военнослужащих; 0,8 процента (52 человека) - инвалиды с детства.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2"/>
        <w:jc w:val="right"/>
      </w:pPr>
      <w:r>
        <w:rPr>
          <w:sz w:val="20"/>
        </w:rPr>
        <w:t xml:space="preserve">Таблица 2</w:t>
      </w:r>
    </w:p>
    <w:p>
      <w:pPr>
        <w:pStyle w:val="0"/>
        <w:jc w:val="both"/>
      </w:pPr>
      <w:r>
        <w:rPr>
          <w:sz w:val="20"/>
        </w:rPr>
      </w:r>
    </w:p>
    <w:bookmarkStart w:id="550" w:name="P550"/>
    <w:bookmarkEnd w:id="550"/>
    <w:p>
      <w:pPr>
        <w:pStyle w:val="2"/>
        <w:jc w:val="center"/>
      </w:pPr>
      <w:r>
        <w:rPr>
          <w:sz w:val="20"/>
        </w:rPr>
        <w:t xml:space="preserve">Распределение лиц, впервые признанных инвалидами среди</w:t>
      </w:r>
    </w:p>
    <w:p>
      <w:pPr>
        <w:pStyle w:val="2"/>
        <w:jc w:val="center"/>
      </w:pPr>
      <w:r>
        <w:rPr>
          <w:sz w:val="20"/>
        </w:rPr>
        <w:t xml:space="preserve">взрослого населения, в динамике за 2016 - 2018 годы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84"/>
        <w:gridCol w:w="2835"/>
        <w:gridCol w:w="1134"/>
        <w:gridCol w:w="794"/>
        <w:gridCol w:w="1134"/>
        <w:gridCol w:w="737"/>
        <w:gridCol w:w="1134"/>
        <w:gridCol w:w="794"/>
      </w:tblGrid>
      <w:tr>
        <w:tc>
          <w:tcPr>
            <w:tcW w:w="4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п/п</w:t>
            </w:r>
          </w:p>
        </w:tc>
        <w:tc>
          <w:tcPr>
            <w:tcW w:w="2835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Контингенты</w:t>
            </w:r>
          </w:p>
        </w:tc>
        <w:tc>
          <w:tcPr>
            <w:gridSpan w:val="2"/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2016 год</w:t>
            </w:r>
          </w:p>
        </w:tc>
        <w:tc>
          <w:tcPr>
            <w:gridSpan w:val="2"/>
            <w:tcW w:w="187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2017 год</w:t>
            </w:r>
          </w:p>
        </w:tc>
        <w:tc>
          <w:tcPr>
            <w:gridSpan w:val="2"/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2018 год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Абсолютное число, человек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 процентах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Абсолютное число, человек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 процентах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Абсолютное число, человек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 процентах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2835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Впервые признано инвалидами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7 319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7 178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6 860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1.1.</w:t>
            </w:r>
          </w:p>
        </w:tc>
        <w:tc>
          <w:tcPr>
            <w:tcW w:w="2835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в том числе трудоспособного возраста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3 946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53,9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3 512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48,9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3 191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46,5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1.2.</w:t>
            </w:r>
          </w:p>
        </w:tc>
        <w:tc>
          <w:tcPr>
            <w:tcW w:w="2835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старше трудоспособного возраста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3 373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46,1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3 666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51,1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3 669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53,5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2835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Женщины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3 242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44,3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3 181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44,3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3 038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44,3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2.1.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0"/>
              </w:rPr>
              <w:t xml:space="preserve">в том числе трудоспособного возраста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1 473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45,4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1 269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39,9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1 194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39,3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2.2.</w:t>
            </w:r>
          </w:p>
        </w:tc>
        <w:tc>
          <w:tcPr>
            <w:tcW w:w="2835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старше трудоспособного возраста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1 769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54,6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1 912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60,1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1 844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60,7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0"/>
              </w:rPr>
              <w:t xml:space="preserve">Мужчины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4 077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55,7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3 997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55,7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3 822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55,7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3.1.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0"/>
              </w:rPr>
              <w:t xml:space="preserve">в том числе трудоспособного возраста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2 473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60,7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2 243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56,1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1 997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52,3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3.2.</w:t>
            </w:r>
          </w:p>
        </w:tc>
        <w:tc>
          <w:tcPr>
            <w:tcW w:w="2835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старше трудоспособного возраста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1 604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39,3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1 754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43,9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1 825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47,7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2"/>
        <w:jc w:val="right"/>
      </w:pPr>
      <w:r>
        <w:rPr>
          <w:sz w:val="20"/>
        </w:rPr>
        <w:t xml:space="preserve">Таблица 3</w:t>
      </w:r>
    </w:p>
    <w:p>
      <w:pPr>
        <w:pStyle w:val="0"/>
        <w:jc w:val="both"/>
      </w:pPr>
      <w:r>
        <w:rPr>
          <w:sz w:val="20"/>
        </w:rPr>
      </w:r>
    </w:p>
    <w:bookmarkStart w:id="640" w:name="P640"/>
    <w:bookmarkEnd w:id="640"/>
    <w:p>
      <w:pPr>
        <w:pStyle w:val="2"/>
        <w:jc w:val="center"/>
      </w:pPr>
      <w:r>
        <w:rPr>
          <w:sz w:val="20"/>
        </w:rPr>
        <w:t xml:space="preserve">Распределение лиц, впервые признанных инвалидами</w:t>
      </w:r>
    </w:p>
    <w:p>
      <w:pPr>
        <w:pStyle w:val="2"/>
        <w:jc w:val="center"/>
      </w:pPr>
      <w:r>
        <w:rPr>
          <w:sz w:val="20"/>
        </w:rPr>
        <w:t xml:space="preserve">среди взрослого населения области, по группам инвалидности</w:t>
      </w:r>
    </w:p>
    <w:p>
      <w:pPr>
        <w:pStyle w:val="0"/>
        <w:jc w:val="both"/>
      </w:pPr>
      <w:r>
        <w:rPr>
          <w:sz w:val="20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384"/>
        <w:gridCol w:w="907"/>
        <w:gridCol w:w="737"/>
        <w:gridCol w:w="907"/>
        <w:gridCol w:w="794"/>
        <w:gridCol w:w="907"/>
        <w:gridCol w:w="737"/>
        <w:gridCol w:w="794"/>
        <w:gridCol w:w="737"/>
        <w:gridCol w:w="794"/>
        <w:gridCol w:w="737"/>
        <w:gridCol w:w="850"/>
        <w:gridCol w:w="850"/>
        <w:gridCol w:w="850"/>
        <w:gridCol w:w="794"/>
      </w:tblGrid>
      <w:tr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gridSpan w:val="2"/>
            <w:tcW w:w="164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gridSpan w:val="6"/>
            <w:tcW w:w="487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Трудоспособного возраста</w:t>
            </w:r>
          </w:p>
        </w:tc>
        <w:tc>
          <w:tcPr>
            <w:gridSpan w:val="6"/>
            <w:tcW w:w="487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Старше трудоспособного возраста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gridSpan w:val="2"/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gridSpan w:val="2"/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 городе</w:t>
            </w:r>
          </w:p>
        </w:tc>
        <w:tc>
          <w:tcPr>
            <w:gridSpan w:val="2"/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 селе</w:t>
            </w:r>
          </w:p>
        </w:tc>
        <w:tc>
          <w:tcPr>
            <w:gridSpan w:val="2"/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gridSpan w:val="2"/>
            <w:tcW w:w="170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 городе</w:t>
            </w:r>
          </w:p>
        </w:tc>
        <w:tc>
          <w:tcPr>
            <w:gridSpan w:val="2"/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 селе</w:t>
            </w:r>
          </w:p>
        </w:tc>
      </w:tr>
      <w:tr>
        <w:tc>
          <w:tcPr>
            <w:vMerge w:val="continue"/>
          </w:tcPr>
          <w:p/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Абсолютное число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 процентах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Абсолютное число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 процентах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Абсолютное число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 процентах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Абсолютное число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 процентах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Абсолютное число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 процентах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Абсолютное число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 процентах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Абсолютное число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 процентах</w:t>
            </w:r>
          </w:p>
        </w:tc>
      </w:tr>
      <w:tr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  <w:t xml:space="preserve">Всего признано инвалидами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6 860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3 191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46,5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2 179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68,3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1 012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31,7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3 669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53,5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2 696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73,5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973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26,5</w:t>
            </w:r>
          </w:p>
        </w:tc>
      </w:tr>
      <w:tr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  <w:t xml:space="preserve">в том числе: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  <w:t xml:space="preserve">I группы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1 194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17,4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11,2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251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10,4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838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22,8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606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22,5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23,8</w:t>
            </w:r>
          </w:p>
        </w:tc>
      </w:tr>
      <w:tr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  <w:t xml:space="preserve">II группы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2 107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30,7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881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27,6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596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27,4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28,1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1 226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33,4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901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33,4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325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33,4</w:t>
            </w:r>
          </w:p>
        </w:tc>
      </w:tr>
      <w:tr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  <w:t xml:space="preserve">III группы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3 559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51,9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1 954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61,2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1 332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61,1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622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61,5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1 605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43,8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1 189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44,1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42,8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структуре первичной инвалидности </w:t>
      </w:r>
      <w:hyperlink w:history="0" w:anchor="P640" w:tooltip="Распределение лиц, впервые признанных инвалидами">
        <w:r>
          <w:rPr>
            <w:sz w:val="20"/>
            <w:color w:val="0000ff"/>
          </w:rPr>
          <w:t xml:space="preserve">(таблица 3)</w:t>
        </w:r>
      </w:hyperlink>
      <w:r>
        <w:rPr>
          <w:sz w:val="20"/>
        </w:rPr>
        <w:t xml:space="preserve"> ведущее место занимают: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злокачественные новообразования - 40,8 процента (в 2017 году - 38,7 процента, в 2016 году - 37,8 процента);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болезни системы кровообращения - 27,8 процента (в 2017 году - 29.4 процента, в 2016 году - 28,0 процента);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болезни костно-мышечной системы - 6,6 процента (в 2017 году - 7,1 процента, в 2016 году - 7,3 процента);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психические расстройства - 4,0 процента (в 2017 году - 5,1 процента, в 2016 году - 7,4 процента);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болезни нервной системы - 3,7 процента (в 2017 году - 3,6 процента, в 2016 году - 3,6 процента);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последствия травм - 3,2 процента (в 2017 году - 2,9 процента, в 2016 году - 3,6 процента).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 уменьшением числа лиц, впервые признанных инвалидами, уменьшился и уровень первичной инвалидности на 10000 населения и составил 48,2 процента (в 2017 году - 50,7 процента; в 2016 году - 51,4 процента).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Наиболее высокий уровень первичной инвалидности отмечается: в Волоконовском районе - 63,6 человека на 10000 населения, в Белгородском районе - 63,1 человека на 10000 населения, в Новооскольском городском округе - 58,7 человека на 10000 населения. Наиболее низкий уровень первичной инвалидности отмечается: в Ровеньском районе - 32,7 человека на 10000 населения, в Грайворонском городском округе - 37,7 человека на 10000 населения, в Ивнянском районе - 38,6 человека на 10000 населения.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2"/>
        <w:jc w:val="right"/>
      </w:pPr>
      <w:r>
        <w:rPr>
          <w:sz w:val="20"/>
        </w:rPr>
        <w:t xml:space="preserve">Таблица 4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Распределение лиц, впервые признанных инвалидами</w:t>
      </w:r>
    </w:p>
    <w:p>
      <w:pPr>
        <w:pStyle w:val="2"/>
        <w:jc w:val="center"/>
      </w:pPr>
      <w:r>
        <w:rPr>
          <w:sz w:val="20"/>
        </w:rPr>
        <w:t xml:space="preserve">среди взрослого населения области, по причинам</w:t>
      </w:r>
    </w:p>
    <w:p>
      <w:pPr>
        <w:pStyle w:val="2"/>
        <w:jc w:val="center"/>
      </w:pPr>
      <w:r>
        <w:rPr>
          <w:sz w:val="20"/>
        </w:rPr>
        <w:t xml:space="preserve">инвалидности в 2018 году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2134"/>
        <w:gridCol w:w="1020"/>
        <w:gridCol w:w="794"/>
        <w:gridCol w:w="1020"/>
        <w:gridCol w:w="794"/>
        <w:gridCol w:w="1020"/>
        <w:gridCol w:w="794"/>
        <w:gridCol w:w="1020"/>
        <w:gridCol w:w="794"/>
        <w:gridCol w:w="1020"/>
        <w:gridCol w:w="794"/>
      </w:tblGrid>
      <w:tr>
        <w:tc>
          <w:tcPr>
            <w:tcW w:w="4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213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Причины инвалидности</w:t>
            </w:r>
          </w:p>
        </w:tc>
        <w:tc>
          <w:tcPr>
            <w:gridSpan w:val="2"/>
            <w:tcW w:w="1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gridSpan w:val="8"/>
            <w:tcW w:w="7256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 том числе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gridSpan w:val="2"/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 трудоспособном возрасте</w:t>
            </w:r>
          </w:p>
        </w:tc>
        <w:tc>
          <w:tcPr>
            <w:gridSpan w:val="2"/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 в сельских поселениях</w:t>
            </w:r>
          </w:p>
        </w:tc>
        <w:tc>
          <w:tcPr>
            <w:gridSpan w:val="2"/>
            <w:tcW w:w="181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старше трудоспособного возраста</w:t>
            </w:r>
          </w:p>
        </w:tc>
        <w:tc>
          <w:tcPr>
            <w:gridSpan w:val="2"/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 в сельских поселениях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Абсолютное число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 процентах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Абсолютное число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 процентах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Абсолютное число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 процентах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Абсолютное число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 процентах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Абсолютное число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 процентах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2134" w:type="dxa"/>
          </w:tcPr>
          <w:p>
            <w:pPr>
              <w:pStyle w:val="0"/>
            </w:pPr>
            <w:r>
              <w:rPr>
                <w:sz w:val="20"/>
              </w:rPr>
              <w:t xml:space="preserve">Впервые признано инвалидами, всего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6 860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3 191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46,5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1 012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31,7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3 669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53,5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973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26,5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2134" w:type="dxa"/>
          </w:tcPr>
          <w:p>
            <w:pPr>
              <w:pStyle w:val="0"/>
            </w:pPr>
            <w:r>
              <w:rPr>
                <w:sz w:val="20"/>
              </w:rPr>
              <w:t xml:space="preserve">Инвалидность вследствие трудового увечья или профессионального заболевания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0,4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0,4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</w:t>
            </w:r>
          </w:p>
        </w:tc>
        <w:tc>
          <w:tcPr>
            <w:tcW w:w="2134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Инвалиды из числа бывших военнослужащих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155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2,2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2,3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1,5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2,2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1,8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</w:t>
            </w:r>
          </w:p>
        </w:tc>
        <w:tc>
          <w:tcPr>
            <w:tcW w:w="2134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Инвалиды с детства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0,8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1,6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2,3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0,03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0,1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</w:t>
            </w:r>
          </w:p>
        </w:tc>
        <w:tc>
          <w:tcPr>
            <w:tcW w:w="2134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Общее заболевание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6 626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96,6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3 050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95,6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969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95,7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3 576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97,5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951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97,7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2134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Инвалиды, находящиеся в стационарных учреждениях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0,1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0,4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</w:tr>
    </w:tbl>
    <w:p>
      <w:pPr>
        <w:sectPr>
          <w:headerReference w:type="default" r:id="rId11"/>
          <w:headerReference w:type="first" r:id="rId11"/>
          <w:footerReference w:type="default" r:id="rId12"/>
          <w:footerReference w:type="first" r:id="rId12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2018 году уровень первичной инвалидности среди взрослого населения уменьшился и составил 54,4 человека на 10000 взрослого населения (в 2017 году - 56,6 человека на 10000 взрослого населения, в 2016 году - 57,6 человека на 10000 взрослого населения). Однако вырос уровень заболеваемости злокачественными новообразованиями и составил 22,2 человека на 10000 взрослого населения (в 2017 году - 21,9 человека на 10000 взрослого населения, в 2016 году - 21,8 человека на 10000 взрослого населения), уровень заболеваемости эндокринной системы повысился в 2018 году до 0,9 человека на 10000 взрослого населения (в 2017 году - 0,7 человека на 10000 взрослого населения, в 2016 году - 0,9 человека на 10000 взрослого населения), при заболеваниях уха и сосцевидного отростка отмечается рост уровня заболеваемости до 1,1 человека на 10000 взрослого населения (в 2017 году - 0,9 человека на 10000 взрослого населения, в 2016 году - 0,6 человека на 10000 взрослого населения), при заболеваниях мочеполовой системы - повысился до 0,6 человека на 10000 взрослого населения (в 2017 году - 0,5 человека на 10000 взрослого населения, в 2016 году - 0,6 человека на 10000 взрослого населения), при последствиях травм повысился до 1,7 человек на 10000 взрослого населения (в 2017 году - 1,6 человека на 10000 взрослого населения, в 2016 году - 2,1 человека на 10000 взрослого населения) (</w:t>
      </w:r>
      <w:hyperlink w:history="0" w:anchor="P866" w:tooltip="Структура первичной инвалидности среди">
        <w:r>
          <w:rPr>
            <w:sz w:val="20"/>
            <w:color w:val="0000ff"/>
          </w:rPr>
          <w:t xml:space="preserve">таблицы 5</w:t>
        </w:r>
      </w:hyperlink>
      <w:r>
        <w:rPr>
          <w:sz w:val="20"/>
        </w:rPr>
        <w:t xml:space="preserve">, </w:t>
      </w:r>
      <w:hyperlink w:history="0" w:anchor="P980" w:tooltip="Уровень первичной инвалидности по классам болезней на">
        <w:r>
          <w:rPr>
            <w:sz w:val="20"/>
            <w:color w:val="0000ff"/>
          </w:rPr>
          <w:t xml:space="preserve">6</w:t>
        </w:r>
      </w:hyperlink>
      <w:r>
        <w:rPr>
          <w:sz w:val="20"/>
        </w:rPr>
        <w:t xml:space="preserve">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 детей подросткового возраста (15 - 17 лет) показатель общей заболеваемости в 2018 году снизился на 4,4 процента и составил 254191,5 случая на 100000 соответствующего населения (в 2017 году - 265924,9 случая), в Российской Федерации - 224518,2 случая на 100000 соответствующего населения.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Ниже среднего по области этот показатель в следующих муниципальных образованиях: Красногвардейском - 154891,3, Корочанском - 158739,3, Чернянском - 160553,6, Прохоровском - 181707,3, Волоконовском - 183333,3 Ровеньском - 199059,6 районах, Алексеевском - 167392,6 и Новооскольском - 189949,3 городских округах.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Снижение отмечено по следующим классам (значение показателя, в процентах):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болезни крови и кроветворных органов - 21,1;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болезни уха и сосцевидного отростка - 14,8;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симптомы, признаки и отклонения от нормы - 10,2;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болезни органов пищеварения и органов дыхания - 8,3;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болезни нервной системы - 7,7;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врожденные аномалии (пороки развития), деформации и хромосомные нарушения - 7,5;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болезни эндокринной системы, расстройства питания и нарушения обмена веществ - 7,5;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болезни мочеполовой системы и болезни системы кровообращения - 7,1;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болезни глаза и его придаточного аппарата - 6,8.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2"/>
        <w:jc w:val="right"/>
      </w:pPr>
      <w:r>
        <w:rPr>
          <w:sz w:val="20"/>
        </w:rPr>
        <w:t xml:space="preserve">Таблица 5</w:t>
      </w:r>
    </w:p>
    <w:p>
      <w:pPr>
        <w:pStyle w:val="0"/>
        <w:jc w:val="both"/>
      </w:pPr>
      <w:r>
        <w:rPr>
          <w:sz w:val="20"/>
        </w:rPr>
      </w:r>
    </w:p>
    <w:bookmarkStart w:id="866" w:name="P866"/>
    <w:bookmarkEnd w:id="866"/>
    <w:p>
      <w:pPr>
        <w:pStyle w:val="2"/>
        <w:jc w:val="center"/>
      </w:pPr>
      <w:r>
        <w:rPr>
          <w:sz w:val="20"/>
        </w:rPr>
        <w:t xml:space="preserve">Структура первичной инвалидности среди</w:t>
      </w:r>
    </w:p>
    <w:p>
      <w:pPr>
        <w:pStyle w:val="2"/>
        <w:jc w:val="center"/>
      </w:pPr>
      <w:r>
        <w:rPr>
          <w:sz w:val="20"/>
        </w:rPr>
        <w:t xml:space="preserve">взрослого населения по классам болезней в 2018 году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04"/>
        <w:gridCol w:w="5896"/>
        <w:gridCol w:w="1339"/>
        <w:gridCol w:w="1219"/>
      </w:tblGrid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5896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классов и отдельных болезней</w:t>
            </w:r>
          </w:p>
        </w:tc>
        <w:tc>
          <w:tcPr>
            <w:gridSpan w:val="2"/>
            <w:tcW w:w="255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Всего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3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абсолютное число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процентов</w:t>
            </w:r>
          </w:p>
        </w:tc>
      </w:tr>
      <w:tr>
        <w:tc>
          <w:tcPr>
            <w:vMerge w:val="continue"/>
          </w:tcPr>
          <w:p/>
        </w:tc>
        <w:tc>
          <w:tcPr>
            <w:tcW w:w="589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3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6 860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5896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Туберкулез</w:t>
            </w:r>
          </w:p>
        </w:tc>
        <w:tc>
          <w:tcPr>
            <w:tcW w:w="13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0,2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5896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ВИЧ</w:t>
            </w:r>
          </w:p>
        </w:tc>
        <w:tc>
          <w:tcPr>
            <w:tcW w:w="13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0,2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</w:t>
            </w:r>
          </w:p>
        </w:tc>
        <w:tc>
          <w:tcPr>
            <w:tcW w:w="5896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Злокачественные новообразования</w:t>
            </w:r>
          </w:p>
        </w:tc>
        <w:tc>
          <w:tcPr>
            <w:tcW w:w="13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2 797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40,8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</w:t>
            </w:r>
          </w:p>
        </w:tc>
        <w:tc>
          <w:tcPr>
            <w:tcW w:w="5896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Болезни эндокринной системы и обмена веществ, из них:</w:t>
            </w:r>
          </w:p>
        </w:tc>
        <w:tc>
          <w:tcPr>
            <w:tcW w:w="13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1,6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4.1.</w:t>
            </w:r>
          </w:p>
        </w:tc>
        <w:tc>
          <w:tcPr>
            <w:tcW w:w="5896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сахарный диабет</w:t>
            </w:r>
          </w:p>
        </w:tc>
        <w:tc>
          <w:tcPr>
            <w:tcW w:w="13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1,4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</w:t>
            </w:r>
          </w:p>
        </w:tc>
        <w:tc>
          <w:tcPr>
            <w:tcW w:w="5896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Психические расстройства и расстройства поведения</w:t>
            </w:r>
          </w:p>
        </w:tc>
        <w:tc>
          <w:tcPr>
            <w:tcW w:w="13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271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5896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Болезни нервной системы</w:t>
            </w:r>
          </w:p>
        </w:tc>
        <w:tc>
          <w:tcPr>
            <w:tcW w:w="13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251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3,7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</w:t>
            </w:r>
          </w:p>
        </w:tc>
        <w:tc>
          <w:tcPr>
            <w:tcW w:w="5896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Болезни глаза</w:t>
            </w:r>
          </w:p>
        </w:tc>
        <w:tc>
          <w:tcPr>
            <w:tcW w:w="13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2,3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</w:t>
            </w:r>
          </w:p>
        </w:tc>
        <w:tc>
          <w:tcPr>
            <w:tcW w:w="5896" w:type="dxa"/>
          </w:tcPr>
          <w:p>
            <w:pPr>
              <w:pStyle w:val="0"/>
            </w:pPr>
            <w:r>
              <w:rPr>
                <w:sz w:val="20"/>
              </w:rPr>
              <w:t xml:space="preserve">Болезни уха и сосцевидного отростка</w:t>
            </w:r>
          </w:p>
        </w:tc>
        <w:tc>
          <w:tcPr>
            <w:tcW w:w="13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1,9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</w:t>
            </w:r>
          </w:p>
        </w:tc>
        <w:tc>
          <w:tcPr>
            <w:tcW w:w="5896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Болезни системы кровообращения</w:t>
            </w:r>
          </w:p>
        </w:tc>
        <w:tc>
          <w:tcPr>
            <w:tcW w:w="13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1 907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27,8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</w:t>
            </w:r>
          </w:p>
        </w:tc>
        <w:tc>
          <w:tcPr>
            <w:tcW w:w="5896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Болезни, характеризующиеся повышением артериального давления</w:t>
            </w:r>
          </w:p>
        </w:tc>
        <w:tc>
          <w:tcPr>
            <w:tcW w:w="13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0,7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11.</w:t>
            </w:r>
          </w:p>
        </w:tc>
        <w:tc>
          <w:tcPr>
            <w:tcW w:w="5896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Ишемическая болезнь сердца</w:t>
            </w:r>
          </w:p>
        </w:tc>
        <w:tc>
          <w:tcPr>
            <w:tcW w:w="13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682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9,9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</w:t>
            </w:r>
          </w:p>
        </w:tc>
        <w:tc>
          <w:tcPr>
            <w:tcW w:w="5896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Цереброваскулярные болезни</w:t>
            </w:r>
          </w:p>
        </w:tc>
        <w:tc>
          <w:tcPr>
            <w:tcW w:w="13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802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11,7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</w:t>
            </w:r>
          </w:p>
        </w:tc>
        <w:tc>
          <w:tcPr>
            <w:tcW w:w="5896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Болезни органов дыхания</w:t>
            </w:r>
          </w:p>
        </w:tc>
        <w:tc>
          <w:tcPr>
            <w:tcW w:w="13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</w:t>
            </w:r>
          </w:p>
        </w:tc>
        <w:tc>
          <w:tcPr>
            <w:tcW w:w="5896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Болезни органов пищеварения</w:t>
            </w:r>
          </w:p>
        </w:tc>
        <w:tc>
          <w:tcPr>
            <w:tcW w:w="13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</w:t>
            </w:r>
          </w:p>
        </w:tc>
        <w:tc>
          <w:tcPr>
            <w:tcW w:w="5896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Болезни костно-мышечной системы, из них:</w:t>
            </w:r>
          </w:p>
        </w:tc>
        <w:tc>
          <w:tcPr>
            <w:tcW w:w="13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452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6,6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15.1.</w:t>
            </w:r>
          </w:p>
        </w:tc>
        <w:tc>
          <w:tcPr>
            <w:tcW w:w="5896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дорсопатии</w:t>
            </w:r>
          </w:p>
        </w:tc>
        <w:tc>
          <w:tcPr>
            <w:tcW w:w="13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174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16.</w:t>
            </w:r>
          </w:p>
        </w:tc>
        <w:tc>
          <w:tcPr>
            <w:tcW w:w="5896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Болезни мочеполовой системы</w:t>
            </w:r>
          </w:p>
        </w:tc>
        <w:tc>
          <w:tcPr>
            <w:tcW w:w="13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1,1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17.</w:t>
            </w:r>
          </w:p>
        </w:tc>
        <w:tc>
          <w:tcPr>
            <w:tcW w:w="5896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Последствия травм, из них:</w:t>
            </w:r>
          </w:p>
        </w:tc>
        <w:tc>
          <w:tcPr>
            <w:tcW w:w="13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219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3,2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17.1.</w:t>
            </w:r>
          </w:p>
        </w:tc>
        <w:tc>
          <w:tcPr>
            <w:tcW w:w="5896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последствия травм головы</w:t>
            </w:r>
          </w:p>
        </w:tc>
        <w:tc>
          <w:tcPr>
            <w:tcW w:w="13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1,1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17.2.</w:t>
            </w:r>
          </w:p>
        </w:tc>
        <w:tc>
          <w:tcPr>
            <w:tcW w:w="5896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последствия травм опорно-двигательного аппарата</w:t>
            </w:r>
          </w:p>
        </w:tc>
        <w:tc>
          <w:tcPr>
            <w:tcW w:w="13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18.</w:t>
            </w:r>
          </w:p>
        </w:tc>
        <w:tc>
          <w:tcPr>
            <w:tcW w:w="5896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Последствия травм после ДТП</w:t>
            </w:r>
          </w:p>
        </w:tc>
        <w:tc>
          <w:tcPr>
            <w:tcW w:w="13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0,9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19.</w:t>
            </w:r>
          </w:p>
        </w:tc>
        <w:tc>
          <w:tcPr>
            <w:tcW w:w="5896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Последствия производственных травм, из них:</w:t>
            </w:r>
          </w:p>
        </w:tc>
        <w:tc>
          <w:tcPr>
            <w:tcW w:w="13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0,4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19.1.</w:t>
            </w:r>
          </w:p>
        </w:tc>
        <w:tc>
          <w:tcPr>
            <w:tcW w:w="5896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последствия травм опорно-двигательного аппарата</w:t>
            </w:r>
          </w:p>
        </w:tc>
        <w:tc>
          <w:tcPr>
            <w:tcW w:w="13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20.</w:t>
            </w:r>
          </w:p>
        </w:tc>
        <w:tc>
          <w:tcPr>
            <w:tcW w:w="5896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Прочие болезни</w:t>
            </w:r>
          </w:p>
        </w:tc>
        <w:tc>
          <w:tcPr>
            <w:tcW w:w="13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3,2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2"/>
        <w:jc w:val="right"/>
      </w:pPr>
      <w:r>
        <w:rPr>
          <w:sz w:val="20"/>
        </w:rPr>
        <w:t xml:space="preserve">Таблица 6</w:t>
      </w:r>
    </w:p>
    <w:p>
      <w:pPr>
        <w:pStyle w:val="0"/>
        <w:jc w:val="both"/>
      </w:pPr>
      <w:r>
        <w:rPr>
          <w:sz w:val="20"/>
        </w:rPr>
      </w:r>
    </w:p>
    <w:bookmarkStart w:id="980" w:name="P980"/>
    <w:bookmarkEnd w:id="980"/>
    <w:p>
      <w:pPr>
        <w:pStyle w:val="2"/>
        <w:jc w:val="center"/>
      </w:pPr>
      <w:r>
        <w:rPr>
          <w:sz w:val="20"/>
        </w:rPr>
        <w:t xml:space="preserve">Уровень первичной инвалидности по классам болезней на</w:t>
      </w:r>
    </w:p>
    <w:p>
      <w:pPr>
        <w:pStyle w:val="2"/>
        <w:jc w:val="center"/>
      </w:pPr>
      <w:r>
        <w:rPr>
          <w:sz w:val="20"/>
        </w:rPr>
        <w:t xml:space="preserve">10000 взрослого населения в динамике за 2016 - 2018 годы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2104"/>
        <w:gridCol w:w="1020"/>
        <w:gridCol w:w="1174"/>
        <w:gridCol w:w="964"/>
        <w:gridCol w:w="1174"/>
        <w:gridCol w:w="964"/>
        <w:gridCol w:w="1174"/>
      </w:tblGrid>
      <w:tr>
        <w:tc>
          <w:tcPr>
            <w:tcW w:w="4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21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классов и отдельных болезней</w:t>
            </w:r>
          </w:p>
        </w:tc>
        <w:tc>
          <w:tcPr>
            <w:gridSpan w:val="2"/>
            <w:tcW w:w="21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2016 год</w:t>
            </w:r>
          </w:p>
        </w:tc>
        <w:tc>
          <w:tcPr>
            <w:gridSpan w:val="2"/>
            <w:tcW w:w="213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2017 год</w:t>
            </w:r>
          </w:p>
        </w:tc>
        <w:tc>
          <w:tcPr>
            <w:gridSpan w:val="2"/>
            <w:tcW w:w="213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2018 год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Абсолютное число 1</w:t>
            </w:r>
          </w:p>
        </w:tc>
        <w:tc>
          <w:tcPr>
            <w:tcW w:w="11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 10000 населения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Абсолютное число</w:t>
            </w:r>
          </w:p>
        </w:tc>
        <w:tc>
          <w:tcPr>
            <w:tcW w:w="11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 10000 населения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Абсолютное число</w:t>
            </w:r>
          </w:p>
        </w:tc>
        <w:tc>
          <w:tcPr>
            <w:tcW w:w="11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 10000 населения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104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7 319</w:t>
            </w:r>
          </w:p>
        </w:tc>
        <w:tc>
          <w:tcPr>
            <w:tcW w:w="11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57,6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7178</w:t>
            </w:r>
          </w:p>
        </w:tc>
        <w:tc>
          <w:tcPr>
            <w:tcW w:w="11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56,6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6 860</w:t>
            </w:r>
          </w:p>
        </w:tc>
        <w:tc>
          <w:tcPr>
            <w:tcW w:w="11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54,4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21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Туберкулез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  <w:tc>
          <w:tcPr>
            <w:tcW w:w="11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0,2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</w:t>
            </w:r>
          </w:p>
        </w:tc>
        <w:tc>
          <w:tcPr>
            <w:tcW w:w="11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0,1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11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0,1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2104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ВИЧ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11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0,1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11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0,1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11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0,1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</w:t>
            </w:r>
          </w:p>
        </w:tc>
        <w:tc>
          <w:tcPr>
            <w:tcW w:w="2104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Злокачественные</w:t>
            </w:r>
          </w:p>
          <w:p>
            <w:pPr>
              <w:pStyle w:val="0"/>
            </w:pPr>
            <w:r>
              <w:rPr>
                <w:sz w:val="20"/>
              </w:rPr>
              <w:t xml:space="preserve">новообразования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2 766</w:t>
            </w:r>
          </w:p>
        </w:tc>
        <w:tc>
          <w:tcPr>
            <w:tcW w:w="11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21,8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2 781</w:t>
            </w:r>
          </w:p>
        </w:tc>
        <w:tc>
          <w:tcPr>
            <w:tcW w:w="11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21,9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2 797</w:t>
            </w:r>
          </w:p>
        </w:tc>
        <w:tc>
          <w:tcPr>
            <w:tcW w:w="11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22,2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</w:t>
            </w:r>
          </w:p>
        </w:tc>
        <w:tc>
          <w:tcPr>
            <w:tcW w:w="2104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Болезни эндокринной системы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</w:t>
            </w:r>
          </w:p>
        </w:tc>
        <w:tc>
          <w:tcPr>
            <w:tcW w:w="11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0,9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</w:t>
            </w:r>
          </w:p>
        </w:tc>
        <w:tc>
          <w:tcPr>
            <w:tcW w:w="11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0,7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</w:t>
            </w:r>
          </w:p>
        </w:tc>
        <w:tc>
          <w:tcPr>
            <w:tcW w:w="11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0,9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</w:t>
            </w:r>
          </w:p>
        </w:tc>
        <w:tc>
          <w:tcPr>
            <w:tcW w:w="2104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Психические расстройства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539</w:t>
            </w:r>
          </w:p>
        </w:tc>
        <w:tc>
          <w:tcPr>
            <w:tcW w:w="11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4,2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365</w:t>
            </w:r>
          </w:p>
        </w:tc>
        <w:tc>
          <w:tcPr>
            <w:tcW w:w="11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2,9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271</w:t>
            </w:r>
          </w:p>
        </w:tc>
        <w:tc>
          <w:tcPr>
            <w:tcW w:w="11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2,1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21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Болезни нервной системы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264</w:t>
            </w:r>
          </w:p>
        </w:tc>
        <w:tc>
          <w:tcPr>
            <w:tcW w:w="11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2,1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261</w:t>
            </w:r>
          </w:p>
        </w:tc>
        <w:tc>
          <w:tcPr>
            <w:tcW w:w="11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2,1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251</w:t>
            </w:r>
          </w:p>
        </w:tc>
        <w:tc>
          <w:tcPr>
            <w:tcW w:w="11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</w:t>
            </w:r>
          </w:p>
        </w:tc>
        <w:tc>
          <w:tcPr>
            <w:tcW w:w="2104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Болезни глаза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</w:t>
            </w:r>
          </w:p>
        </w:tc>
        <w:tc>
          <w:tcPr>
            <w:tcW w:w="11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1,2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</w:t>
            </w:r>
          </w:p>
        </w:tc>
        <w:tc>
          <w:tcPr>
            <w:tcW w:w="11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1,4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155</w:t>
            </w:r>
          </w:p>
        </w:tc>
        <w:tc>
          <w:tcPr>
            <w:tcW w:w="11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1,2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</w:t>
            </w:r>
          </w:p>
        </w:tc>
        <w:tc>
          <w:tcPr>
            <w:tcW w:w="2104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Болезни уха и сосцевидного отростка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</w:t>
            </w:r>
          </w:p>
        </w:tc>
        <w:tc>
          <w:tcPr>
            <w:tcW w:w="11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</w:t>
            </w:r>
          </w:p>
        </w:tc>
        <w:tc>
          <w:tcPr>
            <w:tcW w:w="11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0,9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</w:t>
            </w:r>
          </w:p>
        </w:tc>
        <w:tc>
          <w:tcPr>
            <w:tcW w:w="11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1,1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</w:t>
            </w:r>
          </w:p>
        </w:tc>
        <w:tc>
          <w:tcPr>
            <w:tcW w:w="2104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Болезни системы кровообращения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2 054</w:t>
            </w:r>
          </w:p>
        </w:tc>
        <w:tc>
          <w:tcPr>
            <w:tcW w:w="11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16,2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2 113</w:t>
            </w:r>
          </w:p>
        </w:tc>
        <w:tc>
          <w:tcPr>
            <w:tcW w:w="11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16,7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1 907</w:t>
            </w:r>
          </w:p>
        </w:tc>
        <w:tc>
          <w:tcPr>
            <w:tcW w:w="11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15,1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</w:t>
            </w:r>
          </w:p>
        </w:tc>
        <w:tc>
          <w:tcPr>
            <w:tcW w:w="2104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Болезни органов дыхания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</w:t>
            </w:r>
          </w:p>
        </w:tc>
        <w:tc>
          <w:tcPr>
            <w:tcW w:w="11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</w:t>
            </w:r>
          </w:p>
        </w:tc>
        <w:tc>
          <w:tcPr>
            <w:tcW w:w="11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</w:t>
            </w:r>
          </w:p>
        </w:tc>
        <w:tc>
          <w:tcPr>
            <w:tcW w:w="11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11.</w:t>
            </w:r>
          </w:p>
        </w:tc>
        <w:tc>
          <w:tcPr>
            <w:tcW w:w="2104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Болезни органов пищеварения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</w:t>
            </w:r>
          </w:p>
        </w:tc>
        <w:tc>
          <w:tcPr>
            <w:tcW w:w="11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0,9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138</w:t>
            </w:r>
          </w:p>
        </w:tc>
        <w:tc>
          <w:tcPr>
            <w:tcW w:w="11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1,1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</w:t>
            </w:r>
          </w:p>
        </w:tc>
        <w:tc>
          <w:tcPr>
            <w:tcW w:w="11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1,1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</w:t>
            </w:r>
          </w:p>
        </w:tc>
        <w:tc>
          <w:tcPr>
            <w:tcW w:w="2104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Болезни</w:t>
            </w:r>
          </w:p>
          <w:p>
            <w:pPr>
              <w:pStyle w:val="0"/>
            </w:pPr>
            <w:r>
              <w:rPr>
                <w:sz w:val="20"/>
              </w:rPr>
              <w:t xml:space="preserve">костно-мышечной системы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534</w:t>
            </w:r>
          </w:p>
        </w:tc>
        <w:tc>
          <w:tcPr>
            <w:tcW w:w="11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4,2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509</w:t>
            </w:r>
          </w:p>
        </w:tc>
        <w:tc>
          <w:tcPr>
            <w:tcW w:w="11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452</w:t>
            </w:r>
          </w:p>
        </w:tc>
        <w:tc>
          <w:tcPr>
            <w:tcW w:w="11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3,6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</w:t>
            </w:r>
          </w:p>
        </w:tc>
        <w:tc>
          <w:tcPr>
            <w:tcW w:w="2104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Болезни мочеполовой системы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</w:t>
            </w:r>
          </w:p>
        </w:tc>
        <w:tc>
          <w:tcPr>
            <w:tcW w:w="11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</w:t>
            </w:r>
          </w:p>
        </w:tc>
        <w:tc>
          <w:tcPr>
            <w:tcW w:w="11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</w:t>
            </w:r>
          </w:p>
        </w:tc>
        <w:tc>
          <w:tcPr>
            <w:tcW w:w="11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</w:t>
            </w:r>
          </w:p>
        </w:tc>
        <w:tc>
          <w:tcPr>
            <w:tcW w:w="2104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Травмы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264</w:t>
            </w:r>
          </w:p>
        </w:tc>
        <w:tc>
          <w:tcPr>
            <w:tcW w:w="11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2,1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</w:t>
            </w:r>
          </w:p>
        </w:tc>
        <w:tc>
          <w:tcPr>
            <w:tcW w:w="11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1,6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219</w:t>
            </w:r>
          </w:p>
        </w:tc>
        <w:tc>
          <w:tcPr>
            <w:tcW w:w="11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1,7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</w:t>
            </w:r>
          </w:p>
        </w:tc>
        <w:tc>
          <w:tcPr>
            <w:tcW w:w="2104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Травмы, полученные в ДТП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</w:t>
            </w:r>
          </w:p>
        </w:tc>
        <w:tc>
          <w:tcPr>
            <w:tcW w:w="11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</w:t>
            </w:r>
          </w:p>
        </w:tc>
        <w:tc>
          <w:tcPr>
            <w:tcW w:w="11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0,4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</w:t>
            </w:r>
          </w:p>
        </w:tc>
        <w:tc>
          <w:tcPr>
            <w:tcW w:w="11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16.</w:t>
            </w:r>
          </w:p>
        </w:tc>
        <w:tc>
          <w:tcPr>
            <w:tcW w:w="2104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Производственные травмы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</w:t>
            </w:r>
          </w:p>
        </w:tc>
        <w:tc>
          <w:tcPr>
            <w:tcW w:w="11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</w:t>
            </w:r>
          </w:p>
        </w:tc>
        <w:tc>
          <w:tcPr>
            <w:tcW w:w="11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</w:t>
            </w:r>
          </w:p>
        </w:tc>
        <w:tc>
          <w:tcPr>
            <w:tcW w:w="11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0,2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17.</w:t>
            </w:r>
          </w:p>
        </w:tc>
        <w:tc>
          <w:tcPr>
            <w:tcW w:w="2104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Профессиональные болезни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1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1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0,1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0,01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18.</w:t>
            </w:r>
          </w:p>
        </w:tc>
        <w:tc>
          <w:tcPr>
            <w:tcW w:w="2104" w:type="dxa"/>
          </w:tcPr>
          <w:p>
            <w:pPr>
              <w:pStyle w:val="0"/>
            </w:pPr>
            <w:r>
              <w:rPr>
                <w:sz w:val="20"/>
              </w:rPr>
              <w:t xml:space="preserve">Прочие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</w:t>
            </w:r>
          </w:p>
        </w:tc>
        <w:tc>
          <w:tcPr>
            <w:tcW w:w="11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1,7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</w:t>
            </w:r>
          </w:p>
        </w:tc>
        <w:tc>
          <w:tcPr>
            <w:tcW w:w="11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1,6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</w:t>
            </w:r>
          </w:p>
        </w:tc>
        <w:tc>
          <w:tcPr>
            <w:tcW w:w="11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1,7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Вместе с тем имеет место увеличение показателя общей заболеваемости детей подросткового возраста в Вейделевском и Ракитянском районах, а также в Старооскольском и Шебекинском городских округах.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Выше среднего по области этот показатель в городе Белгороде - 341725,8, Вейделевском - 281306,7 и Ивнянском районах - 273730,3, Губкинском - 278130,2, Грайворонском - 326865,7 и Яковлевском городских округах - 270343,9.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Рост показателя заболеваемости наблюдался по следующим классам (значение показателя, в процентах):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болезни кожи и подкожной клетчатки - 41,7;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травмы, отравления, и некоторые другие последствия воздействия внешних причин - 9,2;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новообразования - 8,5;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некоторые инфекционные и паразитарные болезни - 4,7;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психические расстройства и расстройства поведения - 4,2.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Заболеваемость детей подросткового возраста (15 - 17 лет) с диагнозом, установленным впервые в жизни, в 2018 году по сравнению с уровнем предыдущего года снизилась на 4,6 процента и показатель составил 154213,7 случая на 100000 соответствующего населения (в 2017 году - 161591,9 случая), в Российской Федерации - 138346,1 случая на 100000 соответствующего населения.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Снижение показателя заболеваемости детей подросткового возраста (15 - 17 лет) с диагнозом, установленным впервые в жизни, зарегистрировано в городе Белгороде, Белгородском, Борисовском, Корочанском, Красненском, Краснояружском, Прохоровском районах и в Валуйском, Грайворонском и Новооскольском городских округах.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Ниже среднего по области этот показатель в следующих муниципальных образованиях: Прохоровском - 85365,9, Борисовском - 85471,4, Краснояружском - 86607,1, Корочанском - 86915,0, Чернянском - 91580,2, Волоконовском - 115686,3, Красненском - 113398,7, Красногвардейском районах - 114021,7, Новооскольском - 90540,5 и Алексеевском городских округах - 103896,8.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Снижение отмечено по следующим классам (значение показателя, в процентах):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болезни системы кровообращения - 33,6;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болезни крови и кроветворных органов - 18,8;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болезни уха и сосцевидного отростка - 16,1;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болезни костно-мышечной системы - 15,6;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психические расстройства и расстройства поведения - 14,3;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болезни глаза и его придаточного аппарата - 10,5;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симптомы, признаки и отклонения от нормы - 10,2;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болезни мочеполовой системы - 8,7;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болезни эндокринной системы, расстройства питания и нарушения обмена веществ - 7,7;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болезни органов дыхания - 7,7;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болезни органов пищеварения - на 4,1 процента.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Вместе с тем отмечается рост данного показателя выше среднего по области в городе Белгороде - 231339,3, Грайворонском - 196144,3 и Шебекинском городских округах - 159468,3, Вейделевском - 173139,7 и Ивнянском районах - 158844,1.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Рост заболеваемости отмечен по следующим классам (значение показателя, в процентах):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болезни кожи и подкожной клетчатки - 65,2;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врожденные аномалии (пороки развития), деформации и хромосомные нарушения - 13,9;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травмы, отравления и некоторые другие последствия воздействия внешних причин - 9,2;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некоторые инфекционные и паразитарные заболевания - 5,2;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новообразования - 4,6.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Показатель общей заболеваемости детей (0 - 14 лет) в 2018 году по сравнению с уровнем предыдущего года несколько увеличился (на 1,1 процента) и составил 189889,3 на 100000 соответствующего населения (в 2017 году - 87834,0) в Российской Федерации - 221104,6.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Выше среднего по области этот показатель в городе Белгороде - 225376,6, Губкинском - 229439,8, Старооскольском - 213622,9, Грайворонском - 203726,7 и Яковлевском городских округах - 194922,1, Белгородском районе - 214219,4.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Рост заболеваемости отмечен по следующим классам (значение показателя, в процентах):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болезни кожи и подкожной клетчатки - 73,6;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психические расстройства и расстройства поведения - 19,8;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болезни костно-мышечной системы - 9,7;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некоторые инфекционные и паразитарные заболевания - 4,2;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травмы, отравления и некоторые другие последствия воздействия внешних причин - 3,2.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Ниже среднего по области этот показатель отмечен в следующих районах: Чернянском - 90211,1, Волоконовском - 91607,8, Прохоровском - 981.86,8, Красногвардейском - 99017,4, Краснояружском - 104455,8, Ракитянском - 124819,2, Борисовском - 125461,5, Ивнянском - 133145,4, Корочанском - 138849,9 и Красненском - 139666,1.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Снижение отмечается по следующим классам заболеваний (значение показателя в процентах):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болезни нервной системы - 5,4 процента;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болезни мочеполовой системы - 5,2 процента;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болезни глаза и его придаточного аппарата - 3,2 процента;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болезни органов пищеварения - 3,1 процента.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Таким образом, в 2018 году отмечен рост (в пределах 1 - 4 процентов) заболеваемости как взрослого, так и детского (0 - 14 лет) населения. На этом фоне имело место снижение более чем на 4 процента заболеваемости детей подросткового возраста.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Смертность населения в 2018 году уменьшилась на 0,7 процента и составила 13,4 на 1000 населения (в 2017 году - 13,5), этот показатель превышает рождаемость в 1,4 раза. В Российской Федерации данный показатель составляет 12,4.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Естественное движение населения области и смертность по основным классам причин представлены в таблицах 7 и 8 соответственно.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2"/>
        <w:jc w:val="right"/>
      </w:pPr>
      <w:r>
        <w:rPr>
          <w:sz w:val="20"/>
        </w:rPr>
        <w:t xml:space="preserve">Таблица 7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Естественное движение населения</w:t>
      </w:r>
    </w:p>
    <w:p>
      <w:pPr>
        <w:pStyle w:val="0"/>
        <w:jc w:val="both"/>
      </w:pPr>
      <w:r>
        <w:rPr>
          <w:sz w:val="20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458"/>
        <w:gridCol w:w="964"/>
        <w:gridCol w:w="964"/>
        <w:gridCol w:w="680"/>
        <w:gridCol w:w="604"/>
        <w:gridCol w:w="964"/>
        <w:gridCol w:w="964"/>
        <w:gridCol w:w="737"/>
        <w:gridCol w:w="737"/>
        <w:gridCol w:w="934"/>
        <w:gridCol w:w="934"/>
        <w:gridCol w:w="850"/>
        <w:gridCol w:w="794"/>
      </w:tblGrid>
      <w:tr>
        <w:tc>
          <w:tcPr>
            <w:tcW w:w="3458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районов и городских округов</w:t>
            </w:r>
          </w:p>
        </w:tc>
        <w:tc>
          <w:tcPr>
            <w:gridSpan w:val="4"/>
            <w:tcW w:w="321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Рождаемость</w:t>
            </w:r>
          </w:p>
        </w:tc>
        <w:tc>
          <w:tcPr>
            <w:gridSpan w:val="4"/>
            <w:tcW w:w="340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Смертность</w:t>
            </w:r>
          </w:p>
        </w:tc>
        <w:tc>
          <w:tcPr>
            <w:gridSpan w:val="4"/>
            <w:tcW w:w="351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Естественная убыль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родилось живыми</w:t>
            </w:r>
          </w:p>
        </w:tc>
        <w:tc>
          <w:tcPr>
            <w:gridSpan w:val="2"/>
            <w:tcW w:w="12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 1000 жителей</w:t>
            </w:r>
          </w:p>
        </w:tc>
        <w:tc>
          <w:tcPr>
            <w:gridSpan w:val="2"/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умерло</w:t>
            </w:r>
          </w:p>
        </w:tc>
        <w:tc>
          <w:tcPr>
            <w:gridSpan w:val="2"/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 1000 жителей</w:t>
            </w:r>
          </w:p>
        </w:tc>
        <w:tc>
          <w:tcPr>
            <w:gridSpan w:val="2"/>
            <w:tcW w:w="18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абсолютное число</w:t>
            </w:r>
          </w:p>
        </w:tc>
        <w:tc>
          <w:tcPr>
            <w:gridSpan w:val="2"/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 1000 жителей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2017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2018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2017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2018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2017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2018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2017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2018</w:t>
            </w:r>
          </w:p>
        </w:tc>
        <w:tc>
          <w:tcPr>
            <w:tcW w:w="9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2017</w:t>
            </w:r>
          </w:p>
        </w:tc>
        <w:tc>
          <w:tcPr>
            <w:tcW w:w="9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2018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2017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2018</w:t>
            </w:r>
          </w:p>
        </w:tc>
      </w:tr>
      <w:tr>
        <w:tc>
          <w:tcPr>
            <w:tcW w:w="3458" w:type="dxa"/>
          </w:tcPr>
          <w:p>
            <w:pPr>
              <w:pStyle w:val="0"/>
            </w:pPr>
            <w:r>
              <w:rPr>
                <w:sz w:val="20"/>
              </w:rPr>
              <w:t xml:space="preserve">По Российской Федерации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1690307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1599316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10,9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1826125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1817710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12,4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12,4</w:t>
            </w:r>
          </w:p>
        </w:tc>
        <w:tc>
          <w:tcPr>
            <w:tcW w:w="9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-135818</w:t>
            </w:r>
          </w:p>
        </w:tc>
        <w:tc>
          <w:tcPr>
            <w:tcW w:w="9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-218394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-0,9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-1,5</w:t>
            </w:r>
          </w:p>
        </w:tc>
      </w:tr>
      <w:tr>
        <w:tc>
          <w:tcPr>
            <w:tcW w:w="3458" w:type="dxa"/>
          </w:tcPr>
          <w:p>
            <w:pPr>
              <w:pStyle w:val="0"/>
            </w:pPr>
            <w:r>
              <w:rPr>
                <w:sz w:val="20"/>
              </w:rPr>
              <w:t xml:space="preserve">По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15093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14318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9,7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9,3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20921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20803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13,5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13,4</w:t>
            </w:r>
          </w:p>
        </w:tc>
        <w:tc>
          <w:tcPr>
            <w:tcW w:w="9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-5828</w:t>
            </w:r>
          </w:p>
        </w:tc>
        <w:tc>
          <w:tcPr>
            <w:tcW w:w="9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-6485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-3,8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-4,1</w:t>
            </w:r>
          </w:p>
        </w:tc>
      </w:tr>
      <w:tr>
        <w:tc>
          <w:tcPr>
            <w:tcW w:w="3458" w:type="dxa"/>
          </w:tcPr>
          <w:p>
            <w:pPr>
              <w:pStyle w:val="0"/>
            </w:pPr>
            <w:r>
              <w:rPr>
                <w:sz w:val="20"/>
              </w:rPr>
              <w:t xml:space="preserve">город Белгород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3873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3653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9,9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9,3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4067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4126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10,4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10,5</w:t>
            </w:r>
          </w:p>
        </w:tc>
        <w:tc>
          <w:tcPr>
            <w:tcW w:w="9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-194</w:t>
            </w:r>
          </w:p>
        </w:tc>
        <w:tc>
          <w:tcPr>
            <w:tcW w:w="9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-473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-0,5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-1,2</w:t>
            </w:r>
          </w:p>
        </w:tc>
      </w:tr>
      <w:tr>
        <w:tc>
          <w:tcPr>
            <w:tcW w:w="3458" w:type="dxa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589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10,6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9,6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874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883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14,2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14,4</w:t>
            </w:r>
          </w:p>
        </w:tc>
        <w:tc>
          <w:tcPr>
            <w:tcW w:w="9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-224</w:t>
            </w:r>
          </w:p>
        </w:tc>
        <w:tc>
          <w:tcPr>
            <w:tcW w:w="9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-294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-3,6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-4,8</w:t>
            </w:r>
          </w:p>
        </w:tc>
      </w:tr>
      <w:tr>
        <w:tc>
          <w:tcPr>
            <w:tcW w:w="3458" w:type="dxa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1397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1420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11,9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11,9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1563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1480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13,3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12,4</w:t>
            </w:r>
          </w:p>
        </w:tc>
        <w:tc>
          <w:tcPr>
            <w:tcW w:w="9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-166</w:t>
            </w:r>
          </w:p>
        </w:tc>
        <w:tc>
          <w:tcPr>
            <w:tcW w:w="9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-60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-1,4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-0,5</w:t>
            </w:r>
          </w:p>
        </w:tc>
      </w:tr>
      <w:tr>
        <w:tc>
          <w:tcPr>
            <w:tcW w:w="3458" w:type="dxa"/>
          </w:tcPr>
          <w:p>
            <w:pPr>
              <w:pStyle w:val="0"/>
            </w:pPr>
            <w:r>
              <w:rPr>
                <w:sz w:val="20"/>
              </w:rPr>
              <w:t xml:space="preserve">Борисовский район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238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255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9,3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438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415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17,0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16,3</w:t>
            </w:r>
          </w:p>
        </w:tc>
        <w:tc>
          <w:tcPr>
            <w:tcW w:w="9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-200</w:t>
            </w:r>
          </w:p>
        </w:tc>
        <w:tc>
          <w:tcPr>
            <w:tcW w:w="9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-160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-7,7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-6,3</w:t>
            </w:r>
          </w:p>
        </w:tc>
      </w:tr>
      <w:tr>
        <w:tc>
          <w:tcPr>
            <w:tcW w:w="3458" w:type="dxa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612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569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9,2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8,6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1039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16,6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15,8</w:t>
            </w:r>
          </w:p>
        </w:tc>
        <w:tc>
          <w:tcPr>
            <w:tcW w:w="9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-493</w:t>
            </w:r>
          </w:p>
        </w:tc>
        <w:tc>
          <w:tcPr>
            <w:tcW w:w="9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-470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-7,4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-7,2</w:t>
            </w:r>
          </w:p>
        </w:tc>
      </w:tr>
      <w:tr>
        <w:tc>
          <w:tcPr>
            <w:tcW w:w="3458" w:type="dxa"/>
          </w:tcPr>
          <w:p>
            <w:pPr>
              <w:pStyle w:val="0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189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178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9,8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9,3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361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351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18,6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18,3</w:t>
            </w:r>
          </w:p>
        </w:tc>
        <w:tc>
          <w:tcPr>
            <w:tcW w:w="9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-172</w:t>
            </w:r>
          </w:p>
        </w:tc>
        <w:tc>
          <w:tcPr>
            <w:tcW w:w="9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-173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-8,8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-9,0</w:t>
            </w:r>
          </w:p>
        </w:tc>
      </w:tr>
      <w:tr>
        <w:tc>
          <w:tcPr>
            <w:tcW w:w="3458" w:type="dxa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254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233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8,4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7,8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511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533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16,8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17,7</w:t>
            </w:r>
          </w:p>
        </w:tc>
        <w:tc>
          <w:tcPr>
            <w:tcW w:w="9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-257</w:t>
            </w:r>
          </w:p>
        </w:tc>
        <w:tc>
          <w:tcPr>
            <w:tcW w:w="9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-300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-8,4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-9,9</w:t>
            </w:r>
          </w:p>
        </w:tc>
      </w:tr>
      <w:tr>
        <w:tc>
          <w:tcPr>
            <w:tcW w:w="3458" w:type="dxa"/>
          </w:tcPr>
          <w:p>
            <w:pPr>
              <w:pStyle w:val="0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261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8,8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7,7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466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444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15,7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15,0</w:t>
            </w:r>
          </w:p>
        </w:tc>
        <w:tc>
          <w:tcPr>
            <w:tcW w:w="9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-205</w:t>
            </w:r>
          </w:p>
        </w:tc>
        <w:tc>
          <w:tcPr>
            <w:tcW w:w="9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-216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-6,9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-7,3</w:t>
            </w:r>
          </w:p>
        </w:tc>
      </w:tr>
      <w:tr>
        <w:tc>
          <w:tcPr>
            <w:tcW w:w="3458" w:type="dxa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968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974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8,2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8,3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1522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1519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12,9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12,9</w:t>
            </w:r>
          </w:p>
        </w:tc>
        <w:tc>
          <w:tcPr>
            <w:tcW w:w="9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-554</w:t>
            </w:r>
          </w:p>
        </w:tc>
        <w:tc>
          <w:tcPr>
            <w:tcW w:w="9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-545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-4,7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-4,6</w:t>
            </w:r>
          </w:p>
        </w:tc>
      </w:tr>
      <w:tr>
        <w:tc>
          <w:tcPr>
            <w:tcW w:w="3458" w:type="dxa"/>
          </w:tcPr>
          <w:p>
            <w:pPr>
              <w:pStyle w:val="0"/>
            </w:pPr>
            <w:r>
              <w:rPr>
                <w:sz w:val="20"/>
              </w:rPr>
              <w:t xml:space="preserve">Ивнянский район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10,3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362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384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16,5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17,7</w:t>
            </w:r>
          </w:p>
        </w:tc>
        <w:tc>
          <w:tcPr>
            <w:tcW w:w="9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-137</w:t>
            </w:r>
          </w:p>
        </w:tc>
        <w:tc>
          <w:tcPr>
            <w:tcW w:w="9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-189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-6,2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-8,7</w:t>
            </w:r>
          </w:p>
        </w:tc>
      </w:tr>
      <w:tr>
        <w:tc>
          <w:tcPr>
            <w:tcW w:w="3458" w:type="dxa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363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337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9,2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682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644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17,2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16,3</w:t>
            </w:r>
          </w:p>
        </w:tc>
        <w:tc>
          <w:tcPr>
            <w:tcW w:w="9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-319</w:t>
            </w:r>
          </w:p>
        </w:tc>
        <w:tc>
          <w:tcPr>
            <w:tcW w:w="9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-307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-8,0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-7,8</w:t>
            </w:r>
          </w:p>
        </w:tc>
      </w:tr>
      <w:tr>
        <w:tc>
          <w:tcPr>
            <w:tcW w:w="3458" w:type="dxa"/>
          </w:tcPr>
          <w:p>
            <w:pPr>
              <w:pStyle w:val="0"/>
            </w:pPr>
            <w:r>
              <w:rPr>
                <w:sz w:val="20"/>
              </w:rPr>
              <w:t xml:space="preserve">Красненский район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8,1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7,4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249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280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20,9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24,0</w:t>
            </w:r>
          </w:p>
        </w:tc>
        <w:tc>
          <w:tcPr>
            <w:tcW w:w="9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-153</w:t>
            </w:r>
          </w:p>
        </w:tc>
        <w:tc>
          <w:tcPr>
            <w:tcW w:w="9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-194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-12,8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-16,6</w:t>
            </w:r>
          </w:p>
        </w:tc>
      </w:tr>
      <w:tr>
        <w:tc>
          <w:tcPr>
            <w:tcW w:w="3458" w:type="dxa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261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7,1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717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701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19,4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19,2</w:t>
            </w:r>
          </w:p>
        </w:tc>
        <w:tc>
          <w:tcPr>
            <w:tcW w:w="9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-460</w:t>
            </w:r>
          </w:p>
        </w:tc>
        <w:tc>
          <w:tcPr>
            <w:tcW w:w="9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-440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-12,4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-12,1</w:t>
            </w:r>
          </w:p>
        </w:tc>
      </w:tr>
      <w:tr>
        <w:tc>
          <w:tcPr>
            <w:tcW w:w="3458" w:type="dxa"/>
          </w:tcPr>
          <w:p>
            <w:pPr>
              <w:pStyle w:val="0"/>
            </w:pPr>
            <w:r>
              <w:rPr>
                <w:sz w:val="20"/>
              </w:rPr>
              <w:t xml:space="preserve">Краснояружский район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11,1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9,6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14,1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14,4</w:t>
            </w:r>
          </w:p>
        </w:tc>
        <w:tc>
          <w:tcPr>
            <w:tcW w:w="9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-43</w:t>
            </w:r>
          </w:p>
        </w:tc>
        <w:tc>
          <w:tcPr>
            <w:tcW w:w="9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-70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-3,0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-4,8</w:t>
            </w:r>
          </w:p>
        </w:tc>
      </w:tr>
      <w:tr>
        <w:tc>
          <w:tcPr>
            <w:tcW w:w="3458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353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342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8,5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8,3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743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697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17,9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17,0</w:t>
            </w:r>
          </w:p>
        </w:tc>
        <w:tc>
          <w:tcPr>
            <w:tcW w:w="9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-390</w:t>
            </w:r>
          </w:p>
        </w:tc>
        <w:tc>
          <w:tcPr>
            <w:tcW w:w="9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-355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-9,4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-8,7</w:t>
            </w:r>
          </w:p>
        </w:tc>
      </w:tr>
      <w:tr>
        <w:tc>
          <w:tcPr>
            <w:tcW w:w="3458" w:type="dxa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253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9,3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9,1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511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487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18,5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18,0,</w:t>
            </w:r>
          </w:p>
        </w:tc>
        <w:tc>
          <w:tcPr>
            <w:tcW w:w="9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-258</w:t>
            </w:r>
          </w:p>
        </w:tc>
        <w:tc>
          <w:tcPr>
            <w:tcW w:w="9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-242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-9,5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-8,9</w:t>
            </w:r>
          </w:p>
        </w:tc>
      </w:tr>
      <w:tr>
        <w:tc>
          <w:tcPr>
            <w:tcW w:w="3458" w:type="dxa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291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304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8,4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8,8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514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482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14,8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14,0</w:t>
            </w:r>
          </w:p>
        </w:tc>
        <w:tc>
          <w:tcPr>
            <w:tcW w:w="9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-223</w:t>
            </w:r>
          </w:p>
        </w:tc>
        <w:tc>
          <w:tcPr>
            <w:tcW w:w="9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-178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-6,4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-5,2</w:t>
            </w:r>
          </w:p>
        </w:tc>
      </w:tr>
      <w:tr>
        <w:tc>
          <w:tcPr>
            <w:tcW w:w="3458" w:type="dxa"/>
          </w:tcPr>
          <w:p>
            <w:pPr>
              <w:pStyle w:val="0"/>
            </w:pPr>
            <w:r>
              <w:rPr>
                <w:sz w:val="20"/>
              </w:rPr>
              <w:t xml:space="preserve">Ровеньский район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9,2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8,7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326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296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13,7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12,4</w:t>
            </w:r>
          </w:p>
        </w:tc>
        <w:tc>
          <w:tcPr>
            <w:tcW w:w="9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-106</w:t>
            </w:r>
          </w:p>
        </w:tc>
        <w:tc>
          <w:tcPr>
            <w:tcW w:w="9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-89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-4,5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-3,7</w:t>
            </w:r>
          </w:p>
        </w:tc>
      </w:tr>
      <w:tr>
        <w:tc>
          <w:tcPr>
            <w:tcW w:w="3458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2730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2434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10,5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9,4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3046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3141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11,7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12,1</w:t>
            </w:r>
          </w:p>
        </w:tc>
        <w:tc>
          <w:tcPr>
            <w:tcW w:w="9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-316</w:t>
            </w:r>
          </w:p>
        </w:tc>
        <w:tc>
          <w:tcPr>
            <w:tcW w:w="9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-707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-1,2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-2,7</w:t>
            </w:r>
          </w:p>
        </w:tc>
      </w:tr>
      <w:tr>
        <w:tc>
          <w:tcPr>
            <w:tcW w:w="3458" w:type="dxa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328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302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10,5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9,7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524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15,1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16,8</w:t>
            </w:r>
          </w:p>
        </w:tc>
        <w:tc>
          <w:tcPr>
            <w:tcW w:w="9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-147</w:t>
            </w:r>
          </w:p>
        </w:tc>
        <w:tc>
          <w:tcPr>
            <w:tcW w:w="9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-222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-4,6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-7,1</w:t>
            </w:r>
          </w:p>
        </w:tc>
      </w:tr>
      <w:tr>
        <w:tc>
          <w:tcPr>
            <w:tcW w:w="3458" w:type="dxa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811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786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9,1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8,9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1341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14,9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15,1</w:t>
            </w:r>
          </w:p>
        </w:tc>
        <w:tc>
          <w:tcPr>
            <w:tcW w:w="9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-519</w:t>
            </w:r>
          </w:p>
        </w:tc>
        <w:tc>
          <w:tcPr>
            <w:tcW w:w="9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-555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-5,8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-6,2</w:t>
            </w:r>
          </w:p>
        </w:tc>
      </w:tr>
      <w:tr>
        <w:tc>
          <w:tcPr>
            <w:tcW w:w="3458" w:type="dxa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580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9,8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10,2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826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14,9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14,6</w:t>
            </w:r>
          </w:p>
        </w:tc>
        <w:tc>
          <w:tcPr>
            <w:tcW w:w="9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-292</w:t>
            </w:r>
          </w:p>
        </w:tc>
        <w:tc>
          <w:tcPr>
            <w:tcW w:w="9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-246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-5,1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-4,4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2"/>
        <w:jc w:val="right"/>
      </w:pPr>
      <w:r>
        <w:rPr>
          <w:sz w:val="20"/>
        </w:rPr>
        <w:t xml:space="preserve">Таблица 8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Смертность населения по основным классам причин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149"/>
        <w:gridCol w:w="784"/>
        <w:gridCol w:w="784"/>
        <w:gridCol w:w="604"/>
        <w:gridCol w:w="604"/>
        <w:gridCol w:w="664"/>
        <w:gridCol w:w="664"/>
        <w:gridCol w:w="604"/>
        <w:gridCol w:w="604"/>
        <w:gridCol w:w="784"/>
        <w:gridCol w:w="784"/>
        <w:gridCol w:w="964"/>
        <w:gridCol w:w="907"/>
        <w:gridCol w:w="664"/>
        <w:gridCol w:w="664"/>
        <w:gridCol w:w="664"/>
        <w:gridCol w:w="664"/>
        <w:gridCol w:w="664"/>
        <w:gridCol w:w="664"/>
        <w:gridCol w:w="664"/>
        <w:gridCol w:w="664"/>
      </w:tblGrid>
      <w:tr>
        <w:tc>
          <w:tcPr>
            <w:tcW w:w="21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Наименование районов и городских округов</w:t>
            </w:r>
          </w:p>
        </w:tc>
        <w:tc>
          <w:tcPr>
            <w:gridSpan w:val="4"/>
            <w:tcW w:w="2776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Всего умерло от всех причин</w:t>
            </w:r>
          </w:p>
        </w:tc>
        <w:tc>
          <w:tcPr>
            <w:gridSpan w:val="4"/>
            <w:tcW w:w="2536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 том числе в трудоспособном возрасте</w:t>
            </w:r>
          </w:p>
        </w:tc>
        <w:tc>
          <w:tcPr>
            <w:gridSpan w:val="12"/>
            <w:tcW w:w="87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 том числе из всего умерших от всех причин</w:t>
            </w:r>
          </w:p>
        </w:tc>
      </w:tr>
      <w:tr>
        <w:tc>
          <w:tcPr>
            <w:vMerge w:val="continue"/>
          </w:tcPr>
          <w:p/>
        </w:tc>
        <w:tc>
          <w:tcPr>
            <w:gridSpan w:val="4"/>
            <w:vMerge w:val="continue"/>
          </w:tcPr>
          <w:p/>
        </w:tc>
        <w:tc>
          <w:tcPr>
            <w:gridSpan w:val="4"/>
            <w:vMerge w:val="continue"/>
          </w:tcPr>
          <w:p/>
        </w:tc>
        <w:tc>
          <w:tcPr>
            <w:gridSpan w:val="4"/>
            <w:tcW w:w="34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сердечно-сосудистых заболеваний</w:t>
            </w:r>
          </w:p>
        </w:tc>
        <w:tc>
          <w:tcPr>
            <w:gridSpan w:val="4"/>
            <w:tcW w:w="265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новообразований</w:t>
            </w:r>
          </w:p>
        </w:tc>
        <w:tc>
          <w:tcPr>
            <w:gridSpan w:val="4"/>
            <w:tcW w:w="265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внешних причин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15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абс. число</w:t>
            </w:r>
          </w:p>
        </w:tc>
        <w:tc>
          <w:tcPr>
            <w:gridSpan w:val="2"/>
            <w:tcW w:w="120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 1000 жителей</w:t>
            </w:r>
          </w:p>
        </w:tc>
        <w:tc>
          <w:tcPr>
            <w:gridSpan w:val="2"/>
            <w:tcW w:w="13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абс. число</w:t>
            </w:r>
          </w:p>
        </w:tc>
        <w:tc>
          <w:tcPr>
            <w:gridSpan w:val="2"/>
            <w:tcW w:w="120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 1000 жителей</w:t>
            </w:r>
          </w:p>
        </w:tc>
        <w:tc>
          <w:tcPr>
            <w:gridSpan w:val="2"/>
            <w:tcW w:w="15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абс. число</w:t>
            </w:r>
          </w:p>
        </w:tc>
        <w:tc>
          <w:tcPr>
            <w:gridSpan w:val="2"/>
            <w:tcW w:w="187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 100000 жителей</w:t>
            </w:r>
          </w:p>
        </w:tc>
        <w:tc>
          <w:tcPr>
            <w:gridSpan w:val="2"/>
            <w:tcW w:w="13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абс. число</w:t>
            </w:r>
          </w:p>
        </w:tc>
        <w:tc>
          <w:tcPr>
            <w:gridSpan w:val="2"/>
            <w:tcW w:w="13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 100000 жителей</w:t>
            </w:r>
          </w:p>
        </w:tc>
        <w:tc>
          <w:tcPr>
            <w:gridSpan w:val="2"/>
            <w:tcW w:w="13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абс. число</w:t>
            </w:r>
          </w:p>
        </w:tc>
        <w:tc>
          <w:tcPr>
            <w:gridSpan w:val="2"/>
            <w:tcW w:w="13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 100000 жителей</w:t>
            </w:r>
          </w:p>
        </w:tc>
      </w:tr>
      <w:tr>
        <w:tc>
          <w:tcPr>
            <w:vMerge w:val="continue"/>
          </w:tcPr>
          <w:p/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2017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2018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2017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2018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2018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2017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2018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2017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2018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2017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2018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2018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2018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2018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2018</w:t>
            </w:r>
          </w:p>
        </w:tc>
      </w:tr>
      <w:tr>
        <w:tc>
          <w:tcPr>
            <w:tcW w:w="2149" w:type="dxa"/>
          </w:tcPr>
          <w:p>
            <w:pPr>
              <w:pStyle w:val="0"/>
            </w:pPr>
            <w:r>
              <w:rPr>
                <w:sz w:val="20"/>
              </w:rPr>
              <w:t xml:space="preserve">Всего по области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20 862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20 937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13,4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13,5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3 655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3 610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4,2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4,2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11 138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11 521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717,3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743,3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3 048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3 070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196,3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198,1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1 041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1 026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67,0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66,2</w:t>
            </w:r>
          </w:p>
        </w:tc>
      </w:tr>
      <w:tr>
        <w:tc>
          <w:tcPr>
            <w:tcW w:w="2149" w:type="dxa"/>
          </w:tcPr>
          <w:p>
            <w:pPr>
              <w:pStyle w:val="0"/>
            </w:pPr>
            <w:r>
              <w:rPr>
                <w:sz w:val="20"/>
              </w:rPr>
              <w:t xml:space="preserve">город Белгород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4 059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4 275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10,4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731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3,2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2 402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2 356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614,1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601,2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854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206,8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217,9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43,0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51,5</w:t>
            </w:r>
          </w:p>
        </w:tc>
      </w:tr>
      <w:tr>
        <w:tc>
          <w:tcPr>
            <w:tcW w:w="2149" w:type="dxa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872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874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14,1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14,2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4,3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4,4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427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413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690,7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672,9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186,0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180,8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66,3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53,8</w:t>
            </w:r>
          </w:p>
        </w:tc>
      </w:tr>
      <w:tr>
        <w:tc>
          <w:tcPr>
            <w:tcW w:w="2149" w:type="dxa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1 561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1 524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13,4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12,8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284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4,7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4,4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766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793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657,3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666,9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193,1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175,8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73,8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80,7</w:t>
            </w:r>
          </w:p>
        </w:tc>
      </w:tr>
      <w:tr>
        <w:tc>
          <w:tcPr>
            <w:tcW w:w="2149" w:type="dxa"/>
          </w:tcPr>
          <w:p>
            <w:pPr>
              <w:pStyle w:val="0"/>
            </w:pPr>
            <w:r>
              <w:rPr>
                <w:sz w:val="20"/>
              </w:rPr>
              <w:t xml:space="preserve">Борисовский район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439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417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17,0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16,3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6,1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5,5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241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219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933,0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856,2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224,5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215,0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92,9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89,9</w:t>
            </w:r>
          </w:p>
        </w:tc>
      </w:tr>
      <w:tr>
        <w:tc>
          <w:tcPr>
            <w:tcW w:w="2149" w:type="dxa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1 092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1 035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16,3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162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4,5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623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541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928,6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818,8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192,2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92,4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72,6</w:t>
            </w:r>
          </w:p>
        </w:tc>
      </w:tr>
      <w:tr>
        <w:tc>
          <w:tcPr>
            <w:tcW w:w="2149" w:type="dxa"/>
          </w:tcPr>
          <w:p>
            <w:pPr>
              <w:pStyle w:val="0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355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345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18,2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17,9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5,8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6,0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812,2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861,2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179,9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171,2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61,7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98,6</w:t>
            </w:r>
          </w:p>
        </w:tc>
      </w:tr>
      <w:tr>
        <w:tc>
          <w:tcPr>
            <w:tcW w:w="2149" w:type="dxa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519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532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16,9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17,6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5,3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5,2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270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881,2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1004,4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179,5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258,6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97,9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63,0</w:t>
            </w:r>
          </w:p>
        </w:tc>
      </w:tr>
      <w:tr>
        <w:tc>
          <w:tcPr>
            <w:tcW w:w="2149" w:type="dxa"/>
          </w:tcPr>
          <w:p>
            <w:pPr>
              <w:pStyle w:val="0"/>
            </w:pPr>
            <w:r>
              <w:rPr>
                <w:sz w:val="20"/>
              </w:rPr>
              <w:t xml:space="preserve">Грайворонский</w:t>
            </w:r>
          </w:p>
          <w:p>
            <w:pPr>
              <w:pStyle w:val="0"/>
            </w:pPr>
            <w:r>
              <w:rPr>
                <w:sz w:val="20"/>
              </w:rPr>
              <w:t xml:space="preserve">район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471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438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15,9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4,9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4,2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241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814,8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810,7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188,5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178,3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-22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37,0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74,0</w:t>
            </w:r>
          </w:p>
        </w:tc>
      </w:tr>
      <w:tr>
        <w:tc>
          <w:tcPr>
            <w:tcW w:w="2149" w:type="dxa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1 505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1 507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12,7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12,8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262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292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3,8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4,4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827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946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697,2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802,0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195,6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187,4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59,0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64,4</w:t>
            </w:r>
          </w:p>
        </w:tc>
      </w:tr>
      <w:tr>
        <w:tc>
          <w:tcPr>
            <w:tcW w:w="2149" w:type="dxa"/>
          </w:tcPr>
          <w:p>
            <w:pPr>
              <w:pStyle w:val="0"/>
            </w:pPr>
            <w:r>
              <w:rPr>
                <w:sz w:val="20"/>
              </w:rPr>
              <w:t xml:space="preserve">Ивнянский район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363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385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16,5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17,7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5,7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5,7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939,7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1 032,8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263,3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293,8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104,4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55,1</w:t>
            </w:r>
          </w:p>
        </w:tc>
      </w:tr>
      <w:tr>
        <w:tc>
          <w:tcPr>
            <w:tcW w:w="2149" w:type="dxa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680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639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17,2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16,1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5,9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5,0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304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352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769,6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888,2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189,9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179,2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88,6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47,9</w:t>
            </w:r>
          </w:p>
        </w:tc>
      </w:tr>
      <w:tr>
        <w:tc>
          <w:tcPr>
            <w:tcW w:w="2149" w:type="dxa"/>
          </w:tcPr>
          <w:p>
            <w:pPr>
              <w:pStyle w:val="0"/>
            </w:pPr>
            <w:r>
              <w:rPr>
                <w:sz w:val="20"/>
              </w:rPr>
              <w:t xml:space="preserve">Красненский район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276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20,8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23,4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5,9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5,7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824,5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949,5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174,9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228,9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66,6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59,3</w:t>
            </w:r>
          </w:p>
        </w:tc>
      </w:tr>
      <w:tr>
        <w:tc>
          <w:tcPr>
            <w:tcW w:w="2149" w:type="dxa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715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701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19,3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19,1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6,0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206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534,3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560,9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226,7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182,4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67,5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</w:tr>
      <w:tr>
        <w:tc>
          <w:tcPr>
            <w:tcW w:w="2149" w:type="dxa"/>
          </w:tcPr>
          <w:p>
            <w:pPr>
              <w:pStyle w:val="0"/>
            </w:pPr>
            <w:r>
              <w:rPr>
                <w:sz w:val="20"/>
              </w:rPr>
              <w:t xml:space="preserve">Краснояружский район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13,8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14,5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5,1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696,3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798,5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142,0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197,9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54,1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75,1</w:t>
            </w:r>
          </w:p>
        </w:tc>
      </w:tr>
      <w:tr>
        <w:tc>
          <w:tcPr>
            <w:tcW w:w="2149" w:type="dxa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735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17,6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16,7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3,9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4,6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406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383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973,9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929,5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165,5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131,0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76,8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94,6</w:t>
            </w:r>
          </w:p>
        </w:tc>
      </w:tr>
      <w:tr>
        <w:tc>
          <w:tcPr>
            <w:tcW w:w="2149" w:type="dxa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504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492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18,5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18,1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6,5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6,2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331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1 211,8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1 085,6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234,3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191,4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124,5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114,1</w:t>
            </w:r>
          </w:p>
        </w:tc>
      </w:tr>
      <w:tr>
        <w:tc>
          <w:tcPr>
            <w:tcW w:w="2149" w:type="dxa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515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483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14,7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5,4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5,0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231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660,8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695,1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194,5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214,3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74,4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78,2</w:t>
            </w:r>
          </w:p>
        </w:tc>
      </w:tr>
      <w:tr>
        <w:tc>
          <w:tcPr>
            <w:tcW w:w="2149" w:type="dxa"/>
          </w:tcPr>
          <w:p>
            <w:pPr>
              <w:pStyle w:val="0"/>
            </w:pPr>
            <w:r>
              <w:rPr>
                <w:sz w:val="20"/>
              </w:rPr>
              <w:t xml:space="preserve">Ровеньский район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333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298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13,9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12,5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4,1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3,8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703,4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709,3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188,4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155,3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83,7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71,3</w:t>
            </w:r>
          </w:p>
        </w:tc>
      </w:tr>
      <w:tr>
        <w:tc>
          <w:tcPr>
            <w:tcW w:w="2149" w:type="dxa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3 050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3 133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11,7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4,2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3,9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1716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1914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660,0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734,7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516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198,5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191,9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64,6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56,0</w:t>
            </w:r>
          </w:p>
        </w:tc>
      </w:tr>
      <w:tr>
        <w:tc>
          <w:tcPr>
            <w:tcW w:w="2149" w:type="dxa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473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15,1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16,6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4,2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5,2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301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959,1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766,1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203,9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204,3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63,7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95,8</w:t>
            </w:r>
          </w:p>
        </w:tc>
      </w:tr>
      <w:tr>
        <w:tc>
          <w:tcPr>
            <w:tcW w:w="2149" w:type="dxa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1 326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1 332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14,7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4,3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4,1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646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717,5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874,4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181,0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203,2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91,1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71,8</w:t>
            </w:r>
          </w:p>
        </w:tc>
      </w:tr>
      <w:tr>
        <w:tc>
          <w:tcPr>
            <w:tcW w:w="2149" w:type="dxa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842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829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14,7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14,6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5,2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5,4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472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511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822,3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898,6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169,0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191,7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97,6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86,2</w:t>
            </w:r>
          </w:p>
        </w:tc>
      </w:tr>
    </w:tbl>
    <w:p>
      <w:pPr>
        <w:sectPr>
          <w:headerReference w:type="default" r:id="rId11"/>
          <w:headerReference w:type="first" r:id="rId11"/>
          <w:footerReference w:type="default" r:id="rId12"/>
          <w:footerReference w:type="first" r:id="rId12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Важнейший базовый показатель благополучия граждан - это продолжительность жизни. В Белгородской области она повысилась более, чем на 2,5 года и достигла 74 лет.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Это стало возможным благодаря снижению смертности во всех возрастных группах.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Важно отметить, что снижение смертности произошло несмотря на изменение структуры населения - увеличение числа лиц старше трудоспособного возраста на 1,9 процента (рисунок 3 - не приводится).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Рисунок 3. Смертность населения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Рисунок не приводится.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Снижение общего коэффициента смертности по сравнению с 2017 годом отмечается в 12 муниципальных образованиях области. При этом впервые за несколько лет происходит стабильное снижение смертности сельского населения, что явилось одним из результатов глобального регионального проекта "Управление здоровьем" (рисунок 4 - не приводится).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Рисунок 4. Показатель смертности населения</w:t>
      </w:r>
    </w:p>
    <w:p>
      <w:pPr>
        <w:pStyle w:val="2"/>
        <w:jc w:val="center"/>
      </w:pPr>
      <w:r>
        <w:rPr>
          <w:sz w:val="20"/>
        </w:rPr>
        <w:t xml:space="preserve">в муниципальных образованиях области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Рисунок не приводится.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Структура смертности населения представлена на рисунке 5 (не приводится).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Рисунок 5. Структура смертности населения за 2018 год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Рисунок не приводится.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Ведущими в структуре смертности являются случаи смерти, связанные с болезнями системы кровообращения.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Хочется отметить, что при росте заболеваемости злокачественными новообразованиями за 10-летний период на 23 процента, наблюдается снижение показателя смертности от них на 0,3 процента.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2018 году показатель смертности от неточно обозначенных и неизвестных причин снизился на 36,3 процента, что свидетельствует об эффективности проведенных профилактических мероприятий.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Системная работа по снижению распространенности потребления алкоголя позволила снизить его потребление на 12,7 процента и, как следствие, произошло снижение смертности от случайных отравлений алкоголем, от самоубийств и в целом от внешних причин.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Информация о смертности трудоспособного населения представлена на рисунке 6 (не приводится).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Рисунок 6. Карта смертности трудоспособного населения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Рисунок не приводится.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4. Общая система управления здравоохранением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Управление здравоохранением области осуществляется департаментом здравоохранения и социальной защиты населения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 состоянию на 1 января 2019 года в области функционировало 69 медицинских организаций (юридические лица). В 2018 году в составе медицинских организаций области с целью оптимизации сети произошло объединение городских больниц города Старый Оскол и центральной районной больницы в одно юридическое лицо, взрослых городских больниц города Белгорода, взрослых амбулаторно-поликлинических учреждений города Белгорода, детские медицинские организации города Белгорода были присоединены к ОГБУЗ "Детская областная клиническая больница", все фтизиатрические учреждения области были присоединены к ОГКУЗ "Противотуберкулезный диспансер", создан ОГКУЗ "Центр крови" путем объединения всех станций переливания крови. Кроме того, в рамках реализации проекта "Управление здоровьем" были открыты новые центры врача общей практики (семейной медицины).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2018 году стационарную помощь населению оказывали 53 медицинские организации (в 2017 году - 62). В их числе 2 многопрофильные областные больницы (в том числе 1 детская), 1 окружная больница, госпиталь для ветеранов войн, 5 специализированных больниц, 6 диспансеров, 2 городские больницы, 20 центральных районных больниц, 3 районных больницы, 10 участковых больниц, входящих в состав центральных районных больниц и 3 дома сестринского ухода. Количество амбулаторно-поликлинических учреждений в 2018 году составило 292 единицы.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число самостоятельных амбулаторно-поликлинических учреждений входят: областной центр профилактики и борьбы со СПИД, 2 центра медицинской профилактики (в том числе 1 областной), 2 многопрофильные поликлиники (в том числе 2 детские), 7 стоматологических поликлиник (в том числе 2 детские).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Структура амбулаторно-поликлинических учреждений, входящих в состав юридических лиц, включает 50 поликлиник, 40 врачебных амбулаторий и 191 центр врача общей практики (семейной медицины). Кроме того, медицинскую помощь населению оказывали специалисты 423 фельдшерско-акушерских пунктов, 16 фельдшерских здравпунктов и 1 врачебного здравпункта.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области функционируют Центр крови, 3 станции и 38 отделений скорой медицинской помощи. Лечебно-оздоровительную работу ведут 4 детских санатория и ОГАУЗ "Санаторий "Красиво".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 целью оказания первой помощи в малочисленных (до 100 жителей) селах и хуторах организовано 41 домовое хозяйство.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Сформирована и стабильно функционирует трехуровневая система оказания медицинской помощи (рисунок 7 - не приводится).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Рисунок 7. Трехуровневая система организации</w:t>
      </w:r>
    </w:p>
    <w:p>
      <w:pPr>
        <w:pStyle w:val="2"/>
        <w:jc w:val="center"/>
      </w:pPr>
      <w:r>
        <w:rPr>
          <w:sz w:val="20"/>
        </w:rPr>
        <w:t xml:space="preserve">оказания медицинской помощи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Рисунок не приводится.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ходе реализации проекта "Управление здоровьем" в Белгородской области была сформирована показавшая свою эффективность региональная модель первичной медико-санитарной помощи (рисунок 8).</w:t>
      </w:r>
    </w:p>
    <w:p>
      <w:pPr>
        <w:pStyle w:val="0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┌────────────────────────────────┐     ┌──────────────────────────────────┐</w:t>
      </w:r>
    </w:p>
    <w:p>
      <w:pPr>
        <w:pStyle w:val="1"/>
        <w:jc w:val="both"/>
      </w:pPr>
      <w:r>
        <w:rPr>
          <w:sz w:val="20"/>
        </w:rPr>
        <w:t xml:space="preserve">│ ДЕПАРТАМЕНТ ЗДРАВООХРАНЕНИЯ И  │     │   Администрация муниципального   │</w:t>
      </w:r>
    </w:p>
    <w:p>
      <w:pPr>
        <w:pStyle w:val="1"/>
        <w:jc w:val="both"/>
      </w:pPr>
      <w:r>
        <w:rPr>
          <w:sz w:val="20"/>
        </w:rPr>
        <w:t xml:space="preserve">│  СОЦИАЛЬНОЙ ЗАЩИТЫ НАСЕЛЕНИЯ   │     │              района              │</w:t>
      </w:r>
    </w:p>
    <w:p>
      <w:pPr>
        <w:pStyle w:val="1"/>
        <w:jc w:val="both"/>
      </w:pPr>
      <w:r>
        <w:rPr>
          <w:sz w:val="20"/>
        </w:rPr>
        <w:t xml:space="preserve">│            ОБЛАСТИ             │     │                                  │</w:t>
      </w:r>
    </w:p>
    <w:p>
      <w:pPr>
        <w:pStyle w:val="1"/>
        <w:jc w:val="both"/>
      </w:pPr>
      <w:r>
        <w:rPr>
          <w:sz w:val="20"/>
        </w:rPr>
        <w:t xml:space="preserve">└────────────────┬───────────────┘     └──────────────────────────────────┘</w:t>
      </w:r>
    </w:p>
    <w:p>
      <w:pPr>
        <w:pStyle w:val="1"/>
        <w:jc w:val="both"/>
      </w:pPr>
      <w:r>
        <w:rPr>
          <w:sz w:val="20"/>
        </w:rPr>
        <w:t xml:space="preserve">                 │</w:t>
      </w:r>
    </w:p>
    <w:p>
      <w:pPr>
        <w:pStyle w:val="1"/>
        <w:jc w:val="both"/>
      </w:pPr>
      <w:r>
        <w:rPr>
          <w:sz w:val="20"/>
        </w:rPr>
        <w:t xml:space="preserve">┌────────────────V───────────────┐     ┌──────────────────────────────────┐</w:t>
      </w:r>
    </w:p>
    <w:p>
      <w:pPr>
        <w:pStyle w:val="1"/>
        <w:jc w:val="both"/>
      </w:pPr>
      <w:r>
        <w:rPr>
          <w:sz w:val="20"/>
        </w:rPr>
        <w:t xml:space="preserve">│  Региональный Центр семейной   │     │    Наблюдательный Совет (под     │</w:t>
      </w:r>
    </w:p>
    <w:p>
      <w:pPr>
        <w:pStyle w:val="1"/>
        <w:jc w:val="both"/>
      </w:pPr>
      <w:r>
        <w:rPr>
          <w:sz w:val="20"/>
        </w:rPr>
        <w:t xml:space="preserve">│            медицины            │     │     председательством главы      │</w:t>
      </w:r>
    </w:p>
    <w:p>
      <w:pPr>
        <w:pStyle w:val="1"/>
        <w:jc w:val="both"/>
      </w:pPr>
      <w:r>
        <w:rPr>
          <w:sz w:val="20"/>
        </w:rPr>
        <w:t xml:space="preserve">│                                │     │      администрации района)       │</w:t>
      </w:r>
    </w:p>
    <w:p>
      <w:pPr>
        <w:pStyle w:val="1"/>
        <w:jc w:val="both"/>
      </w:pPr>
      <w:r>
        <w:rPr>
          <w:sz w:val="20"/>
        </w:rPr>
        <w:t xml:space="preserve">└────────────────┬───────────────┘     └─────┬────────────────────────────┘</w:t>
      </w:r>
    </w:p>
    <w:p>
      <w:pPr>
        <w:pStyle w:val="1"/>
        <w:jc w:val="both"/>
      </w:pPr>
      <w:r>
        <w:rPr>
          <w:sz w:val="20"/>
        </w:rPr>
        <w:t xml:space="preserve">                 │                           │</w:t>
      </w:r>
    </w:p>
    <w:p>
      <w:pPr>
        <w:pStyle w:val="1"/>
        <w:jc w:val="both"/>
      </w:pPr>
      <w:r>
        <w:rPr>
          <w:sz w:val="20"/>
        </w:rPr>
        <w:t xml:space="preserve">  ┌──────────────V───┐     ┌─────────────────V─────────────┐</w:t>
      </w:r>
    </w:p>
    <w:p>
      <w:pPr>
        <w:pStyle w:val="1"/>
        <w:jc w:val="both"/>
      </w:pPr>
      <w:r>
        <w:rPr>
          <w:sz w:val="20"/>
        </w:rPr>
        <w:t xml:space="preserve">  │   Медицинская    │     │Территориальный Центр семейной │</w:t>
      </w:r>
    </w:p>
    <w:p>
      <w:pPr>
        <w:pStyle w:val="1"/>
        <w:jc w:val="both"/>
      </w:pPr>
      <w:r>
        <w:rPr>
          <w:sz w:val="20"/>
        </w:rPr>
        <w:t xml:space="preserve">  │   организация    ├ ─ ─&gt;│           медицины            │</w:t>
      </w:r>
    </w:p>
    <w:p>
      <w:pPr>
        <w:pStyle w:val="1"/>
        <w:jc w:val="both"/>
      </w:pPr>
      <w:r>
        <w:rPr>
          <w:sz w:val="20"/>
        </w:rPr>
        <w:t xml:space="preserve">  └───────┬──────────┘     └──────────────┬────────────────┘</w:t>
      </w:r>
    </w:p>
    <w:p>
      <w:pPr>
        <w:pStyle w:val="1"/>
        <w:jc w:val="both"/>
      </w:pPr>
      <w:r>
        <w:rPr>
          <w:sz w:val="20"/>
        </w:rPr>
        <w:t xml:space="preserve">  ┌───────┼────────┐                      │</w:t>
      </w:r>
    </w:p>
    <w:p>
      <w:pPr>
        <w:pStyle w:val="1"/>
        <w:jc w:val="both"/>
      </w:pPr>
      <w:r>
        <w:rPr>
          <w:sz w:val="20"/>
        </w:rPr>
        <w:t xml:space="preserve">  │       │        │         ┌────────────V─────┐</w:t>
      </w:r>
    </w:p>
    <w:p>
      <w:pPr>
        <w:pStyle w:val="1"/>
        <w:jc w:val="both"/>
      </w:pPr>
      <w:r>
        <w:rPr>
          <w:sz w:val="20"/>
        </w:rPr>
        <w:t xml:space="preserve">  │  ┌────V────┐   │         │Медицинские округа│</w:t>
      </w:r>
    </w:p>
    <w:p>
      <w:pPr>
        <w:pStyle w:val="1"/>
        <w:jc w:val="both"/>
      </w:pPr>
      <w:r>
        <w:rPr>
          <w:sz w:val="20"/>
        </w:rPr>
        <w:t xml:space="preserve">  │  │Стационар│   │         └────────┬─────────┘</w:t>
      </w:r>
    </w:p>
    <w:p>
      <w:pPr>
        <w:pStyle w:val="1"/>
        <w:jc w:val="both"/>
      </w:pPr>
      <w:r>
        <w:rPr>
          <w:sz w:val="20"/>
        </w:rPr>
        <w:t xml:space="preserve">  │  └─────────┘   │                  │</w:t>
      </w:r>
    </w:p>
    <w:p>
      <w:pPr>
        <w:pStyle w:val="1"/>
        <w:jc w:val="both"/>
      </w:pPr>
      <w:r>
        <w:rPr>
          <w:sz w:val="20"/>
        </w:rPr>
        <w:t xml:space="preserve">  │                │                  │</w:t>
      </w:r>
    </w:p>
    <w:p>
      <w:pPr>
        <w:pStyle w:val="1"/>
        <w:jc w:val="both"/>
      </w:pPr>
      <w:r>
        <w:rPr>
          <w:sz w:val="20"/>
        </w:rPr>
        <w:t xml:space="preserve">┌─V──┐    ┌────────V───┐              │</w:t>
      </w:r>
    </w:p>
    <w:p>
      <w:pPr>
        <w:pStyle w:val="1"/>
        <w:jc w:val="both"/>
      </w:pPr>
      <w:r>
        <w:rPr>
          <w:sz w:val="20"/>
        </w:rPr>
        <w:t xml:space="preserve">│КДЦ │    │  Женская   │              │</w:t>
      </w:r>
    </w:p>
    <w:p>
      <w:pPr>
        <w:pStyle w:val="1"/>
        <w:jc w:val="both"/>
      </w:pPr>
      <w:r>
        <w:rPr>
          <w:sz w:val="20"/>
        </w:rPr>
        <w:t xml:space="preserve">└────┘    │консультация│              │</w:t>
      </w:r>
    </w:p>
    <w:p>
      <w:pPr>
        <w:pStyle w:val="1"/>
        <w:jc w:val="both"/>
      </w:pPr>
      <w:r>
        <w:rPr>
          <w:sz w:val="20"/>
        </w:rPr>
        <w:t xml:space="preserve">          └────────────┘              │</w:t>
      </w:r>
    </w:p>
    <w:p>
      <w:pPr>
        <w:pStyle w:val="1"/>
        <w:jc w:val="both"/>
      </w:pPr>
      <w:r>
        <w:rPr>
          <w:sz w:val="20"/>
        </w:rPr>
        <w:t xml:space="preserve">                      ┌────┬────┬────┬┴───┬─────┐</w:t>
      </w:r>
    </w:p>
    <w:p>
      <w:pPr>
        <w:pStyle w:val="1"/>
        <w:jc w:val="both"/>
      </w:pPr>
      <w:r>
        <w:rPr>
          <w:sz w:val="20"/>
        </w:rPr>
        <w:t xml:space="preserve">                    ┌─V──┬─V──┬─V──┬─V──┬─V──┬──V─┐  ┌────────────────────┐</w:t>
      </w:r>
    </w:p>
    <w:p>
      <w:pPr>
        <w:pStyle w:val="1"/>
        <w:jc w:val="both"/>
      </w:pPr>
      <w:r>
        <w:rPr>
          <w:sz w:val="20"/>
        </w:rPr>
        <w:t xml:space="preserve">                    │МО N│МО N│МО N│МО N│МО N│МО N│  │ Общественный совет │</w:t>
      </w:r>
    </w:p>
    <w:p>
      <w:pPr>
        <w:pStyle w:val="1"/>
        <w:jc w:val="both"/>
      </w:pPr>
      <w:r>
        <w:rPr>
          <w:sz w:val="20"/>
        </w:rPr>
        <w:t xml:space="preserve">                    │1 - │18 -│21 -│24 -│27 -│30 -│&lt;─┤медицинского округа │</w:t>
      </w:r>
    </w:p>
    <w:p>
      <w:pPr>
        <w:pStyle w:val="1"/>
        <w:jc w:val="both"/>
      </w:pPr>
      <w:r>
        <w:rPr>
          <w:sz w:val="20"/>
        </w:rPr>
        <w:t xml:space="preserve">                    │ 17 │ 20 │ 23 │ 26 │ 29 │ 32 │  └────────────────────┘</w:t>
      </w:r>
    </w:p>
    <w:p>
      <w:pPr>
        <w:pStyle w:val="1"/>
        <w:jc w:val="both"/>
      </w:pPr>
      <w:r>
        <w:rPr>
          <w:sz w:val="20"/>
        </w:rPr>
        <w:t xml:space="preserve">                    └────┴────┴────┴────┴────┴────┘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Рисунок 8. Региональная модель первичной</w:t>
      </w:r>
    </w:p>
    <w:p>
      <w:pPr>
        <w:pStyle w:val="2"/>
        <w:jc w:val="center"/>
      </w:pPr>
      <w:r>
        <w:rPr>
          <w:sz w:val="20"/>
        </w:rPr>
        <w:t xml:space="preserve">медико-санитарной помощи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5. Доступность имеющихся ресурсов в области общественного</w:t>
      </w:r>
    </w:p>
    <w:p>
      <w:pPr>
        <w:pStyle w:val="2"/>
        <w:jc w:val="center"/>
      </w:pPr>
      <w:r>
        <w:rPr>
          <w:sz w:val="20"/>
        </w:rPr>
        <w:t xml:space="preserve">здоровья (центры здоровья, кабинеты/отделения</w:t>
      </w:r>
    </w:p>
    <w:p>
      <w:pPr>
        <w:pStyle w:val="2"/>
        <w:jc w:val="center"/>
      </w:pPr>
      <w:r>
        <w:rPr>
          <w:sz w:val="20"/>
        </w:rPr>
        <w:t xml:space="preserve">медицинской профилактики и др.)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Профилактическая служба области по состоянию на 1 января 2019 года представлена 2 центрами медицинской профилактики (ОГБУЗ особого типа "Областной центр медицинской профилактики" и ОГБУЗ "Центр медицинской профилактики города Старый Оскол"), 23 отделениями и 17 кабинетами медицинской профилактики в областных учреждениях здравоохранения, 5 Центрами здоровья для взрослых, развернутых в центрах медицинской профилактики (город Белгород и город Старый Оскол) и центральных районных больницах (ОГБУЗ "Губкинская ЦРБ", ОГБУЗ "Красногвардейская ЦРБ", ОГБУЗ "Яковлевская ЦРБ"), а также 2 Центрами здоровья для детей, развернутых на базе городских детских поликлиник (город Белгород и город Старый Оскол).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Количество врачей, работающих в отделениях и кабинетах медицинской профилактики, увеличилось на 45,5 процента в сравнении с прошлым годом и на 1 января 2019 года составило 32 врача (2017 год - 22, 2016 год - 21), или 61,2 процента от штатной численности, 4 психолога, 1 социальный работник и 134 средних медработника (в 2017 году - 136, в 2016 году - 137), или 87,9 процента от штатной численности. В настоящее время в области существует дефицит врачебных кадров около 40 процентов.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Расширение объема профилактической работы, увеличение перечня профилактических услуг, активное участие отделений и кабинетов медицинской профилактики в проведении диспансеризации и профилактических осмотров, привлечение врачей первичного звена к проведению профилактических мероприятий диктуют необходимость пополнения профилактической службы врачебными кадрами и замены ими средних медицинских работников. С этой целью на перспективу потребуется более 60 врачей.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Специалисты центров медицинской профилактики активно участвовали в разработке стратегий, проектов, областных программ. Проводили большую работу по организации их реализации. Так, за 2018 год подготовлено 1038 нормативных, аналитических, информационных и справочных материалов в адрес Правительства Российской Федерации, Министерства здравоохранения Российской Федерации, Правительства области, департамента здравоохранения и социальной защиты населения области (в 2017 году - 1027, в 2016 году - 997).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Всего в 2018 году проведено 8990 мероприятий (в 2017 году - 8690, в 2016 году - 8580), в которых приняли участие 357354 человек (в 2017 году - 246263, в 2016 году - 208054).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Деятельность отделений (кабинетов) медицинской профилактики медицинских организаций представлена в таблице 9.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2"/>
        <w:jc w:val="right"/>
      </w:pPr>
      <w:r>
        <w:rPr>
          <w:sz w:val="20"/>
        </w:rPr>
        <w:t xml:space="preserve">Таблица 9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Деятельность отделений (кабинетов) медицинской профилактики</w:t>
      </w:r>
    </w:p>
    <w:p>
      <w:pPr>
        <w:pStyle w:val="2"/>
        <w:jc w:val="center"/>
      </w:pPr>
      <w:r>
        <w:rPr>
          <w:sz w:val="20"/>
        </w:rPr>
        <w:t xml:space="preserve">медицинских организаций области за 2015 - 2018 годы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443"/>
        <w:gridCol w:w="904"/>
        <w:gridCol w:w="904"/>
        <w:gridCol w:w="904"/>
        <w:gridCol w:w="904"/>
      </w:tblGrid>
      <w:tr>
        <w:tc>
          <w:tcPr>
            <w:tcW w:w="5443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Мероприятия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2018</w:t>
            </w:r>
          </w:p>
        </w:tc>
      </w:tr>
      <w:tr>
        <w:tc>
          <w:tcPr>
            <w:tcW w:w="5443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Число лиц, обученных основам здорового образа жизни, всего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631 888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541 274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630 456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822 943</w:t>
            </w:r>
          </w:p>
        </w:tc>
      </w:tr>
      <w:tr>
        <w:tc>
          <w:tcPr>
            <w:tcW w:w="5443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Число медицинских работников, обученных методике профилактики заболеваний и укрепления здоровья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17 451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17 930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28 432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29 087</w:t>
            </w:r>
          </w:p>
        </w:tc>
      </w:tr>
      <w:tr>
        <w:tc>
          <w:tcPr>
            <w:tcW w:w="5443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Число пациентов, обученных в "школах здоровья", в том числе: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77 251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73 385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89 986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123 522</w:t>
            </w:r>
          </w:p>
        </w:tc>
      </w:tr>
      <w:tr>
        <w:tc>
          <w:tcPr>
            <w:tcW w:w="5443" w:type="dxa"/>
          </w:tcPr>
          <w:p>
            <w:pPr>
              <w:pStyle w:val="0"/>
            </w:pPr>
            <w:r>
              <w:rPr>
                <w:sz w:val="20"/>
              </w:rPr>
              <w:t xml:space="preserve">для беременных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12 407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10 402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10 310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10 009</w:t>
            </w:r>
          </w:p>
        </w:tc>
      </w:tr>
      <w:tr>
        <w:tc>
          <w:tcPr>
            <w:tcW w:w="5443" w:type="dxa"/>
          </w:tcPr>
          <w:p>
            <w:pPr>
              <w:pStyle w:val="0"/>
            </w:pPr>
            <w:r>
              <w:rPr>
                <w:sz w:val="20"/>
              </w:rPr>
              <w:t xml:space="preserve">больных с сердечной недостаточностью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1 021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1 710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1 865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1 682</w:t>
            </w:r>
          </w:p>
        </w:tc>
      </w:tr>
      <w:tr>
        <w:tc>
          <w:tcPr>
            <w:tcW w:w="5443" w:type="dxa"/>
          </w:tcPr>
          <w:p>
            <w:pPr>
              <w:pStyle w:val="0"/>
            </w:pPr>
            <w:r>
              <w:rPr>
                <w:sz w:val="20"/>
              </w:rPr>
              <w:t xml:space="preserve">больных на хроническом диализе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</w:t>
            </w:r>
          </w:p>
        </w:tc>
      </w:tr>
      <w:tr>
        <w:tc>
          <w:tcPr>
            <w:tcW w:w="5443" w:type="dxa"/>
          </w:tcPr>
          <w:p>
            <w:pPr>
              <w:pStyle w:val="0"/>
            </w:pPr>
            <w:r>
              <w:rPr>
                <w:sz w:val="20"/>
              </w:rPr>
              <w:t xml:space="preserve">больных артериальной гипертензией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21 915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21 508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26 228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31 622</w:t>
            </w:r>
          </w:p>
        </w:tc>
      </w:tr>
      <w:tr>
        <w:tc>
          <w:tcPr>
            <w:tcW w:w="5443" w:type="dxa"/>
          </w:tcPr>
          <w:p>
            <w:pPr>
              <w:pStyle w:val="0"/>
            </w:pPr>
            <w:r>
              <w:rPr>
                <w:sz w:val="20"/>
              </w:rPr>
              <w:t xml:space="preserve">больных с заболеванием суставов и позвоночника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1 459</w:t>
            </w:r>
          </w:p>
        </w:tc>
      </w:tr>
      <w:tr>
        <w:tc>
          <w:tcPr>
            <w:tcW w:w="5443" w:type="dxa"/>
          </w:tcPr>
          <w:p>
            <w:pPr>
              <w:pStyle w:val="0"/>
            </w:pPr>
            <w:r>
              <w:rPr>
                <w:sz w:val="20"/>
              </w:rPr>
              <w:t xml:space="preserve">больных бронхиальной астмой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3 920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3 428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3 693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6 167</w:t>
            </w:r>
          </w:p>
        </w:tc>
      </w:tr>
      <w:tr>
        <w:tc>
          <w:tcPr>
            <w:tcW w:w="5443" w:type="dxa"/>
          </w:tcPr>
          <w:p>
            <w:pPr>
              <w:pStyle w:val="0"/>
            </w:pPr>
            <w:r>
              <w:rPr>
                <w:sz w:val="20"/>
              </w:rPr>
              <w:t xml:space="preserve">больных сахарным диабетом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4 932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4 322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5 744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6 762</w:t>
            </w:r>
          </w:p>
        </w:tc>
      </w:tr>
      <w:tr>
        <w:tc>
          <w:tcPr>
            <w:tcW w:w="5443" w:type="dxa"/>
          </w:tcPr>
          <w:p>
            <w:pPr>
              <w:pStyle w:val="0"/>
            </w:pPr>
            <w:r>
              <w:rPr>
                <w:sz w:val="20"/>
              </w:rPr>
              <w:t xml:space="preserve">здорового образа жизни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6 001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3 148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4 956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8 514</w:t>
            </w:r>
          </w:p>
        </w:tc>
      </w:tr>
      <w:tr>
        <w:tc>
          <w:tcPr>
            <w:tcW w:w="5443" w:type="dxa"/>
          </w:tcPr>
          <w:p>
            <w:pPr>
              <w:pStyle w:val="0"/>
            </w:pPr>
            <w:r>
              <w:rPr>
                <w:sz w:val="20"/>
              </w:rPr>
              <w:t xml:space="preserve">прочих "школах здоровья"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26 382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28 396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36 260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51 971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2018 году в области функционировали 1113 "школ здоровья" (в 2017 году - 702, в 2016 году 683), в которых обучено 123522 человека (в 2017 году - 89986, в 2016 году - 73385). Кроме того, специалистами ОГБУЗ особого типа "Областной центр медицинской профилактики" (далее - ОЦМП) обучено методике профилактики заболеваний и укрепления здоровья 29087 медицинских работников. Во время выездов в мобильных "школах здоровья" обучено 7263 пациента. Структура "школ здоровья" представлена на рисунке 9 (не приводится).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Рисунок 9. Структура "школ здоровья"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Рисунок не приводится.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Для качественного и эффективного осуществления группового консультирования пациентов в "школах здоровья" специалисты амбулаторно-поликлинического звена проводили работу, направленную не только на выявление, но и на коррекцию факторов риска неинфекционных заболеваний. В том числе проводилось обучение по разработанной ОЦМП "Школа помощи желающим отказаться от курения". Эта работа проводилась как в медицинских организациях районов области, так и в школах, средних и высших учебных заведениях в виде занятий и мастер-классов.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области функционируют 5 Центров здоровья для взрослых и 2 центра для детей. Количество пациентов, обследованных в Центрах здоровья, представлено в </w:t>
      </w:r>
      <w:hyperlink w:history="0" w:anchor="P2242" w:tooltip="Количество пациентов, обследованных">
        <w:r>
          <w:rPr>
            <w:sz w:val="20"/>
            <w:color w:val="0000ff"/>
          </w:rPr>
          <w:t xml:space="preserve">таблице 10</w:t>
        </w:r>
      </w:hyperlink>
      <w:r>
        <w:rPr>
          <w:sz w:val="20"/>
        </w:rPr>
        <w:t xml:space="preserve">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За 2018 год в Центрах здоровья обследовано 36467 человек (в 2017 году - 39783, в 2016 году - 39652), в том числе 12008 детей (в 2017 году - 12799, в 2016 году - 13737).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 результатам обследования признано здоровыми 13634 пациента, или 37,4 процента от обследованных. Всем 22833 пациентам с выявленными факторами риска составлены индивидуальные программы оздоровления.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2"/>
        <w:jc w:val="right"/>
      </w:pPr>
      <w:r>
        <w:rPr>
          <w:sz w:val="20"/>
        </w:rPr>
        <w:t xml:space="preserve">Таблица 10</w:t>
      </w:r>
    </w:p>
    <w:p>
      <w:pPr>
        <w:pStyle w:val="0"/>
        <w:jc w:val="both"/>
      </w:pPr>
      <w:r>
        <w:rPr>
          <w:sz w:val="20"/>
        </w:rPr>
      </w:r>
    </w:p>
    <w:bookmarkStart w:id="2242" w:name="P2242"/>
    <w:bookmarkEnd w:id="2242"/>
    <w:p>
      <w:pPr>
        <w:pStyle w:val="2"/>
        <w:jc w:val="center"/>
      </w:pPr>
      <w:r>
        <w:rPr>
          <w:sz w:val="20"/>
        </w:rPr>
        <w:t xml:space="preserve">Количество пациентов, обследованных</w:t>
      </w:r>
    </w:p>
    <w:p>
      <w:pPr>
        <w:pStyle w:val="2"/>
        <w:jc w:val="center"/>
      </w:pPr>
      <w:r>
        <w:rPr>
          <w:sz w:val="20"/>
        </w:rPr>
        <w:t xml:space="preserve">в "Центрах здоровья"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71"/>
        <w:gridCol w:w="1304"/>
        <w:gridCol w:w="1644"/>
        <w:gridCol w:w="1644"/>
        <w:gridCol w:w="1701"/>
      </w:tblGrid>
      <w:tr>
        <w:tc>
          <w:tcPr>
            <w:tcW w:w="1871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Всего посетило "Центры здоровья"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2016 год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2017 год</w:t>
            </w:r>
          </w:p>
        </w:tc>
        <w:tc>
          <w:tcPr>
            <w:tcW w:w="170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2018 год</w:t>
            </w:r>
          </w:p>
        </w:tc>
      </w:tr>
      <w:tr>
        <w:tc>
          <w:tcPr>
            <w:vMerge w:val="continue"/>
          </w:tcPr>
          <w:p/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взрослых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25 915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26 984</w:t>
            </w:r>
          </w:p>
        </w:tc>
        <w:tc>
          <w:tcPr>
            <w:tcW w:w="170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24 459</w:t>
            </w:r>
          </w:p>
        </w:tc>
      </w:tr>
      <w:tr>
        <w:tc>
          <w:tcPr>
            <w:vMerge w:val="continue"/>
          </w:tcPr>
          <w:p/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детей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13 737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12 799</w:t>
            </w:r>
          </w:p>
        </w:tc>
        <w:tc>
          <w:tcPr>
            <w:tcW w:w="170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12 008</w:t>
            </w:r>
          </w:p>
        </w:tc>
      </w:tr>
      <w:tr>
        <w:tc>
          <w:tcPr>
            <w:vMerge w:val="continue"/>
          </w:tcPr>
          <w:p/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39 652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39 783</w:t>
            </w:r>
          </w:p>
        </w:tc>
        <w:tc>
          <w:tcPr>
            <w:tcW w:w="170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36 467</w:t>
            </w:r>
          </w:p>
        </w:tc>
      </w:tr>
      <w:tr>
        <w:tc>
          <w:tcPr>
            <w:tcW w:w="1871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Выявлено с факторами риска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взрослых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21 483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23 604</w:t>
            </w:r>
          </w:p>
        </w:tc>
        <w:tc>
          <w:tcPr>
            <w:tcW w:w="170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19 415</w:t>
            </w:r>
          </w:p>
        </w:tc>
      </w:tr>
      <w:tr>
        <w:tc>
          <w:tcPr>
            <w:vMerge w:val="continue"/>
          </w:tcPr>
          <w:p/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детей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8 761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8 702</w:t>
            </w:r>
          </w:p>
        </w:tc>
        <w:tc>
          <w:tcPr>
            <w:tcW w:w="170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3 418</w:t>
            </w:r>
          </w:p>
        </w:tc>
      </w:tr>
      <w:tr>
        <w:tc>
          <w:tcPr>
            <w:vMerge w:val="continue"/>
          </w:tcPr>
          <w:p/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30 244 76,3%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32 306 82,2%</w:t>
            </w:r>
          </w:p>
        </w:tc>
        <w:tc>
          <w:tcPr>
            <w:tcW w:w="170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22 833 62,6%</w:t>
            </w:r>
          </w:p>
        </w:tc>
      </w:tr>
      <w:tr>
        <w:tc>
          <w:tcPr>
            <w:tcW w:w="1871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Выявлено здоровыми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взрослых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4 432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3 380</w:t>
            </w:r>
          </w:p>
        </w:tc>
        <w:tc>
          <w:tcPr>
            <w:tcW w:w="170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5 044</w:t>
            </w:r>
          </w:p>
        </w:tc>
      </w:tr>
      <w:tr>
        <w:tc>
          <w:tcPr>
            <w:vMerge w:val="continue"/>
          </w:tcPr>
          <w:p/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детей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4 976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4 097</w:t>
            </w:r>
          </w:p>
        </w:tc>
        <w:tc>
          <w:tcPr>
            <w:tcW w:w="170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8 590</w:t>
            </w:r>
          </w:p>
        </w:tc>
      </w:tr>
      <w:tr>
        <w:tc>
          <w:tcPr>
            <w:vMerge w:val="continue"/>
          </w:tcPr>
          <w:p/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9 408 23,7%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7 477 18,8%</w:t>
            </w:r>
          </w:p>
        </w:tc>
        <w:tc>
          <w:tcPr>
            <w:tcW w:w="170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13 634 37,4%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6. Мероприятия по популяризации массовой</w:t>
      </w:r>
    </w:p>
    <w:p>
      <w:pPr>
        <w:pStyle w:val="2"/>
        <w:jc w:val="center"/>
      </w:pPr>
      <w:r>
        <w:rPr>
          <w:sz w:val="20"/>
        </w:rPr>
        <w:t xml:space="preserve">физической культуры среди населения области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Медицинские работники при пропаганде здорового образа жизни уделяют большое внимание повышению физической активности населения и осуществляют наблюдение за лицами, занимающимися физкультурой и спортом. Не оставлены без внимания и лица, имеющие такой фактор риска, как гиподинамия, занимающий второе место в структуре выявленных факторов риска.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Ежегодно в области проводятся спортивные массовые праздники физической культуры и спорта, зимняя и летняя спартакиады работников здравоохранения. В 2019 году проведены летняя и зимняя спартакиады работников здравоохранения, в которых приняли активное участие более 1900 медработников со своими семьями и группами поддержки. Медработники не только укрепляют собственное здоровье и здоровье членов своих семей, но и своим примером показывают стремление к ведению здорового образа жизни, пониманию значения физической культуры и спорта в жизни людей и в первую очередь формированию у подрастающего поколения ответственного отношения к своему здоровью. С этой целью организуют и проводят круглые столы, уроки здоровья, встречи с населением, информационные часы, а также участвуют в проведении спортивно-оздоровительных мероприятий, соревнований.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Информирование населения о значении двигательной активности проводится с привлечением средств массовой информации. С каждым годом увеличивается количество лиц, занимающихся физкультурой и спортом. Соответственно возрастает роль медицинского обеспечения массовой физической культуры и спорта.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Служба спортивной медицины области представлена 2 отделениями спортивной медицины (в ОГБУЗ особого типа "Областной центр медицинской профилактики" и ОГБУЗ "Центр медицинской профилактики города Старый Оскол") и 1 кабинетом спортивной медицины (в составе центра медицинской профилактики города Губкина). В остальных районах области данные структуры отсутствуют.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Врачами спортивной медицины проводятся углубленные медицинские осмотры. В 2018 году их прошли 12406 лиц, занимающихся физической культурой и спортом (в 2017 году - 11471, в 2016 году - 10391), из них: членов сборных команд - 546 (в 2017 году - 522, в 2016 году - 514); учащихся детско-юношеских спортивных школ - 11026 (в 2017 году - 10967, в 2016 году - 8812); лиц, занимающихся в спортивных секциях, - 648 (в 2017 году - 759, в 2016 году - 747); лиц, занимающихся в группах общей физической подготовки, - 186 (в 2017 году - 195, в 2016 году - 318). Обслужено 349 спортивно-массовых мероприятий (в 2017 году - 313, в 2016 году - 251) с количеством участников 33049 человек (в 2017 году - 34721, в 2016 году - 23764). Проведено 454 врачебно-педагогических наблюдений за спортсменами во время тренировочных занятий. Проводились обучающие семинары для тренерско-преподавательского состава о путях оздоровления спортсменов и профилактике травматизма.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Службой лечебной физкультуры области отмечено, что число лиц, закончивших лечение, составило 126870 (в 2017 году - 149372, в 2016 году - 149311), из них детей (0 - 17 лет) - 43235 (в 2017 году - 59627, в 2016 году - 59317). Число отпущенных процедур - 1525605 (в 2016 году - 1379532, в 2015 году - 1293010). Специалисты проводили работу групповыми и индивидуальными методами по физической реабилитации, по профилактике и лечению заболеваний опорно-двигательного аппарата. Врачи лечебной физкультуры оказывали консультационную и методическую помощь в "Центрах здоровья" лицам, имеющим низкую физическую активность. Каждому пациенту разрабатываются индивидуальные планы оздоровления и даются рекомендации по оптимизации факторов риска. В зависимости от состояния пациента осуществляется подбор физических упражнений с включением в комплекс занятий на тренажерах. Занятия проводились по групповому и индивидуальному методам. Кроме того, пациенты посещали занятия в школах оптимизации физической активности.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Белгородская область определена пилотной площадкой по внедрению Всероссийского физкультурно-спортивного комплекса "Готов к труду и обороне". Издано </w:t>
      </w:r>
      <w:hyperlink w:history="0" r:id="rId13" w:tooltip="Постановление Правительства Белгородской обл. от 04.08.2014 N 293-пп (ред. от 06.09.2022) &quot;О поэтапном внедрении Всероссийского физкультурно-спортивного комплекса &quot;Готов к труду и обороне&quot; (ГТО) в Белгородской области&quot;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4 августа 2014 года N 293-пп "О поэтапном внедрении Всероссийского физкультурно-спортивного комплекса "Готов к труду и обороне" (ГТО) в Белгородской области".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7. Стоматологическая помощь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Большинство населения области имеет возможность получить бесплатно стоматологическую помощь в муниципальных стоматологических учреждениях в соответствии с территориальной программой государственных гарантий оказания гражданам бесплатной медицинской помощи.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структуре стоматологической заболеваемости в 2018 году наибольший удельный вес приходился на кариес и его осложнения.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Удельный вес обращений по поводу кариеса зубов в отчетном году увеличился на 2,5 процента и составил 79,3 процента (в 2017 году - 76,8). Положительным является то, что число посещений по поводу осложненного кариеса уменьшилось на 2,5 процента и составило 20,7 процента к числу всех обращений по поводу кариеса и его осложнений (в 2017 году - 23,2 процента).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Ниже среднего по области этот показатель в следующих муниципальных образованиях: в Ивнянском районе - 20,3 процента, Новооскольском городском округе - 19,7, Белгородском районе - 16,7, Красненском районе - 15,8, Старооскольском городском округе - 14,9, Красногвардейском районе - 14,6, Ровенском районе - 12,2, Прохоровском районе - 11,44, Корочанском районе - 7,1.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Однако в ряде районов удельный вес обращений населения по поводу осложненного кариеса был значительно выше среднего по области: в Борисовском районе - 37,4 процента, Алексеевском городском округе - 30,3, Губкинском городском округе - 33,5, Валуйском городском округе - 27,8, Краснояружском районе - 25,3, Вейделевском районе - 25,1, Ракитянском районе - 24,8, Грайворонском городском округе - 24,4, Чернянском районе - 22,8, Шебекинском городском округе - 22,3, Волоконовском районе - 22,2 и Яковлевском городском округе - 21,6.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Высокий удельный вес обращений пациентов с осложненными формами кариеса в данных районах указывает на низкую доступность и качество стоматологической помощи населению и крайне слабую профилактическую работу.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8. Распространенность факторов</w:t>
      </w:r>
    </w:p>
    <w:p>
      <w:pPr>
        <w:pStyle w:val="2"/>
        <w:jc w:val="center"/>
      </w:pPr>
      <w:r>
        <w:rPr>
          <w:sz w:val="20"/>
        </w:rPr>
        <w:t xml:space="preserve">риска в Белгородской области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По результатам диспансеризации определенных групп населения и профилактических осмотров взрослого населения I группу здоровья имеют 24 процента прошедших обследование, II группу - 16,6 процента, а III группу - 42,4 процента.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Артериальная гипертензия, как фактор риска развития хронических неинфекционных заболеваний, выявлена у 34,5 процента прошедших профилактические осмотры и диспансеризацию (показатель по Российской Федерации за 2019 год - 44 процента). Самый высокий уровень выявляемое в Грайворонском городском округе - 47,3 процента, Ивнянском районе - 46,3 процента, Красненском районе - 45,68 процента, Валуйском городском округе - 44,31 процента (рисунок 10 - не приводится).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Рисунок 10. Распространенность фактора</w:t>
      </w:r>
    </w:p>
    <w:p>
      <w:pPr>
        <w:pStyle w:val="2"/>
        <w:jc w:val="center"/>
      </w:pPr>
      <w:r>
        <w:rPr>
          <w:sz w:val="20"/>
        </w:rPr>
        <w:t xml:space="preserve">риска "Артериальная гипертензия" (в процентах)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Рисунок не приводится.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Самые низкие показатели фактора риска "Артериальная гипертензия" в Шебекинском городском округе - 6,66 процента, Новооскольском городском округе - 13,8 процента, Алексеевском городском округе - 21,4 процента.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Распространенность фактора риска "Нерациональное питание" выявлено у 36,34 процента взрослого населения (</w:t>
      </w:r>
      <w:hyperlink w:history="0" w:anchor="P2324" w:tooltip="Рисунок 11. Распространенность фактора">
        <w:r>
          <w:rPr>
            <w:sz w:val="20"/>
            <w:color w:val="0000ff"/>
          </w:rPr>
          <w:t xml:space="preserve">рисунок 11</w:t>
        </w:r>
      </w:hyperlink>
      <w:r>
        <w:rPr>
          <w:sz w:val="20"/>
        </w:rPr>
        <w:t xml:space="preserve"> - не приводится), из них у 64,3 процента - избыточное потребление соли, недостаток потребления овощей и фруктов - 40,7 процента, недостаток потребления рыбы и морепродуктов - 72 процента.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Белгородская область исторически является сельскохозяйственной территорией, где 32,5 процента населения проживает в сельской местности. Одним из основных методов переработки выращенной продукции является консервирование (т.е. большое добавление соли). За последние годы возросло потребление продуктов переработки мяса и мяса птицы (колбасы, сардельки, сосиски, полуфабрикаты), которые также содержат большое количество соли. Один житель области (учитывая младенцев и детей) в среднем в день употребляет 0,287 г продуктов переработки мяса и мяса птицы.</w:t>
      </w:r>
    </w:p>
    <w:p>
      <w:pPr>
        <w:pStyle w:val="0"/>
        <w:jc w:val="both"/>
      </w:pPr>
      <w:r>
        <w:rPr>
          <w:sz w:val="20"/>
        </w:rPr>
      </w:r>
    </w:p>
    <w:bookmarkStart w:id="2324" w:name="P2324"/>
    <w:bookmarkEnd w:id="2324"/>
    <w:p>
      <w:pPr>
        <w:pStyle w:val="2"/>
        <w:outlineLvl w:val="2"/>
        <w:jc w:val="center"/>
      </w:pPr>
      <w:r>
        <w:rPr>
          <w:sz w:val="20"/>
        </w:rPr>
        <w:t xml:space="preserve">Рисунок 11. Распространенность фактора</w:t>
      </w:r>
    </w:p>
    <w:p>
      <w:pPr>
        <w:pStyle w:val="2"/>
        <w:jc w:val="center"/>
      </w:pPr>
      <w:r>
        <w:rPr>
          <w:sz w:val="20"/>
        </w:rPr>
        <w:t xml:space="preserve">риска "Нерациональное питание"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Рисунок не приводится.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При норме потребления овощей и фруктов на 1 человека в день 500 г, жители области употребляют - 0,433 г, включая картофель, при этом картофель составляет 44,03 процента от всех потребляемых овощей и фруктов.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Рыба и рыбные продукты составляют 0,078 г в день на 1 жителя.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Фактор риска развития хронических неинфекционных заболеваний "Низкая физическая активность" выявлен у 27,6 процента взрослого населения (по Российской Федерации - 38,8 процента) (рисунок 12 - не приводится).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Рисунок 12. Распространенность фактора</w:t>
      </w:r>
    </w:p>
    <w:p>
      <w:pPr>
        <w:pStyle w:val="2"/>
        <w:jc w:val="center"/>
      </w:pPr>
      <w:r>
        <w:rPr>
          <w:sz w:val="20"/>
        </w:rPr>
        <w:t xml:space="preserve">риска "Низкая физическая активность"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Рисунок не приводится.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Муниципальные образования с высоким показателем: Ивнянский район - 34,25 процента, Краснояружский район - 56,17 процента, Грайворонский городской округ - 45,82 процента, Красногвардейский район - 41,91 процента, Красненский район - 41,05 процента. Низкий процент выявляемости в Вейделевском районе - 5,91 процента, Новооскольском городском округе - 9,68 процента, Старооскольском городском округе - 12,18 процента.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Учитывая высокий процент людей с нерациональным питанием и низкой физической активностью, возросло количество человек с выявленным фактором риска "Ожирение" (индекс массы тела более 30). В целом по области данный показатель составляет 21,22 процента (по Российской Федерации - 29,7 процента). Самый высокий уровень выявленного ожирения в Волоконовском районе - 31 процент, Ивнянском районе - 29,4 процента, Грайворонском городском округе - 27,4 процента, Старооскольском городском округе - 25,34 процента, Корочанском районе - 24,6 процента. Низкая выявляемость отмечается в Новооскольском городском округе - 4 процента, Губкинском городском округе - 10,5 процента, Ракитянском районе - 13,54 процента (рисунок 13 - не приводится).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Рисунок 13. Распространенность фактора риска "Ожирение"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Рисунок не приводится.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Фактор риска "Риск пагубного употребления алкоголя" выявлен у 2,78 процента взрослого населения (показатель Российской Федерации - 3,8 процента). Самый высокий показатель в Чернянском районе - 11,9 процента, Красногвардейском районе - 3,7 процента, низкие показатели в Краснояружском районе - 1,2 процента, Новооскольском городском округе - 1,2 процента и Шебекинском городском округе - 1,4 процента (рисунок 14 - не приводится).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Рисунок 14. Распространенность фактора риска</w:t>
      </w:r>
    </w:p>
    <w:p>
      <w:pPr>
        <w:pStyle w:val="2"/>
        <w:jc w:val="center"/>
      </w:pPr>
      <w:r>
        <w:rPr>
          <w:sz w:val="20"/>
        </w:rPr>
        <w:t xml:space="preserve">"Риск пагубного потребления алкоголя"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Рисунок не приводится.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Учитывая проводимую информационно-коммуникационную стратегию, направленную на профилактику табакокурения среди различных слоев населения, показатель фактора риска "Курение табака" в Белгородской области ниже российского показателя на 5,0 процентов и составляет 22,7 процента, (Российская Федерация - 27,7 процента) (рисунок 15 - не приводится).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Рисунок 15. Распространенность</w:t>
      </w:r>
    </w:p>
    <w:p>
      <w:pPr>
        <w:pStyle w:val="2"/>
        <w:jc w:val="center"/>
      </w:pPr>
      <w:r>
        <w:rPr>
          <w:sz w:val="20"/>
        </w:rPr>
        <w:t xml:space="preserve">фактора риска "Курение табака"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Рисунок не приводится.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9. Выводы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Среди граждан Белгородской области отмечается высокий уровень распространенности факторов риска развития неинфекционных заболеваний. Сохраняются недостаточная мотивация и ответственность граждан за сохранение собственного здоровья.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Одной из причин сложившейся ситуации является недостаточная информированность жителей области в вопросах профилактики заболеваний и здоровьесбережения. В связи с этим необходимы дополнительные меры, повышающие приверженность населения к здоровому образу жизни (далее - ЗОЖ), раннему выявлению заболеваний и факторов риска их развития, а также ранней диагностике и лечению заболеваний.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Без преобразований в сфере культуры ЗОЖ и профилактики заболеваний не удастся добиться кардинального изменения существующих показателей смертности и заболеваемости населения.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Формирование ЗОЖ у граждан, в том числе у детей и подростков, существенным образом должно быть поддержано мероприятиями, направленными на повышение информированности граждан о факторах риска, формирование мотивации к ведению ЗОЖ.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ЗОЖ предполагает отказ от потребления табака и наркотиков, злоупотребления алкоголем, а также рациональное питание и наличие достаточного уровня физической активности, предотвращающих развитие ожирения.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Активное информирование населения о факторах риска для здоровья и формирование мотивации к ведению ЗОЖ должны осуществляться через все средства массовой информации (телевидение, сеть Интернет, радио, печатные издания с учетом специфики групп населения, различающихся по возрасту, полу, образованию, социальному статусу).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Существует необходимость формирования системы непрерывного образования граждан и медицинских специалистов по проблемам ЗОЖ, в том числе здорового питания.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Особое значение в настоящее время имеет формирование ЗОЖ у детей, подростков, молодежи и студентов, что обусловлено большой распространенностью среди них курения, а также высокой частотой выявления нерационального питания, избыточной массы тела и ожирения, низкой физической активности.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Процесс повышения мотивации населения, в том числе детей и подростков, к ведению ЗОЖ предполагает межведомственное многоуровневое взаимодействие с привлечением к реализации программы региональных и муниципальных органов власти, министерств и ведомств, общественных организаций, участвующих в информировании населения о факторах риска неинфекционных заболеваний и зависимостей, создании системы мотивации к ведению ЗОЖ и обеспечении для этого соответствующих условий, а также осуществлении контроля за данными процессами посредством мониторинга.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Профилактические мероприятия должны стать ключевыми в борьбе с сердечно-сосудистыми, онкологическими и прочими актуальными для региона заболеваниями, прежде всего среди граждан трудоспособного возраста.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Необходимо мотивировать граждан на прохождение диспансеризации и профилактического медицинского осмотра с целью выявления заболеваний на ранних стадиях и проведения своевременных лечебных, реабилитационных мероприятий с последующим полноценным диспансерным наблюдением.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10. Цель и задачи Программы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Обеспечение увеличения доли граждан, ведущих здоровый образ жизни, к 2024 году до 55 процентов за счет формирования среды, способствующей ведению гражданами здорового образа жизни, включая здоровое питание, защиту от табачного дыма, снижение потребления алкоголя; а также за счет мотивирования граждан к ведению здорового образа жизни посредством информационно-коммуникационной кампании, вовлечения граждан и некоммерческих организаций в мероприятия по укреплению общественного здоровья, разработки и внедрения корпоративных программ укрепления здоровья.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Задачи: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 Развитие инфраструктуры общественного здоровья, повышение обеспеченности кадрами в сфере общественного здоровья.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Разработка и внедрение муниципальных программ общественного здоровья.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Мотивирование граждан к ведению здорового образа жизни посредством проведения информационно-коммуникационной кампании, а также вовлечения граждан и некоммерческих организаций в мероприятия по укреплению общественного здоровья.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Разработка и внедрение корпоративных программ укрепления здоровья на рабочем месте (корпоративных программ укрепления здоровья).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Формирование среды, способствующей ведению гражданами здорового образа жизни, включая здоровое питание (в том числе ликвидацию микронутриентной недостаточности, сокращение потребления соли и сахара), защиту от табачного дыма, снижение потребления алкоголя.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Целевые показатели реализации программы представлены в </w:t>
      </w:r>
      <w:hyperlink w:history="0" w:anchor="P2387" w:tooltip="Целевые индикаторы">
        <w:r>
          <w:rPr>
            <w:sz w:val="20"/>
            <w:color w:val="0000ff"/>
          </w:rPr>
          <w:t xml:space="preserve">таблице 11</w:t>
        </w:r>
      </w:hyperlink>
      <w:r>
        <w:rPr>
          <w:sz w:val="20"/>
        </w:rPr>
        <w:t xml:space="preserve">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Для реализации плана основных мероприятий Программы </w:t>
      </w:r>
      <w:hyperlink w:history="0" w:anchor="P2502" w:tooltip="План мероприятий программы Белгородской области">
        <w:r>
          <w:rPr>
            <w:sz w:val="20"/>
            <w:color w:val="0000ff"/>
          </w:rPr>
          <w:t xml:space="preserve">(таблица 12)</w:t>
        </w:r>
      </w:hyperlink>
      <w:r>
        <w:rPr>
          <w:sz w:val="20"/>
        </w:rPr>
        <w:t xml:space="preserve"> была создана команда, в которую вошли заместители глав муниципальных районов по социальной работе, главные врачи медицинских организаций области, а также представители социальных институтов Белгородской области </w:t>
      </w:r>
      <w:hyperlink w:history="0" w:anchor="P3026" w:tooltip="Участники реализации программы">
        <w:r>
          <w:rPr>
            <w:sz w:val="20"/>
            <w:color w:val="0000ff"/>
          </w:rPr>
          <w:t xml:space="preserve">(таблица 13)</w:t>
        </w:r>
      </w:hyperlink>
      <w:r>
        <w:rPr>
          <w:sz w:val="20"/>
        </w:rPr>
        <w:t xml:space="preserve">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2"/>
        <w:jc w:val="right"/>
      </w:pPr>
      <w:r>
        <w:rPr>
          <w:sz w:val="20"/>
        </w:rPr>
        <w:t xml:space="preserve">Таблица 11</w:t>
      </w:r>
    </w:p>
    <w:p>
      <w:pPr>
        <w:pStyle w:val="0"/>
        <w:jc w:val="both"/>
      </w:pPr>
      <w:r>
        <w:rPr>
          <w:sz w:val="20"/>
        </w:rPr>
      </w:r>
    </w:p>
    <w:bookmarkStart w:id="2387" w:name="P2387"/>
    <w:bookmarkEnd w:id="2387"/>
    <w:p>
      <w:pPr>
        <w:pStyle w:val="2"/>
        <w:jc w:val="center"/>
      </w:pPr>
      <w:r>
        <w:rPr>
          <w:sz w:val="20"/>
        </w:rPr>
        <w:t xml:space="preserve">Целевые индикаторы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2381"/>
        <w:gridCol w:w="1084"/>
        <w:gridCol w:w="1204"/>
        <w:gridCol w:w="784"/>
        <w:gridCol w:w="784"/>
        <w:gridCol w:w="784"/>
        <w:gridCol w:w="784"/>
        <w:gridCol w:w="784"/>
      </w:tblGrid>
      <w:tr>
        <w:tc>
          <w:tcPr>
            <w:tcW w:w="4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2381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показателя</w:t>
            </w:r>
          </w:p>
        </w:tc>
        <w:tc>
          <w:tcPr>
            <w:gridSpan w:val="2"/>
            <w:tcW w:w="2288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Базовое значение</w:t>
            </w:r>
          </w:p>
        </w:tc>
        <w:tc>
          <w:tcPr>
            <w:gridSpan w:val="5"/>
            <w:tcW w:w="39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Период, год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7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7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7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</w:t>
            </w:r>
          </w:p>
        </w:tc>
        <w:tc>
          <w:tcPr>
            <w:tcW w:w="7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</w:t>
            </w:r>
          </w:p>
        </w:tc>
        <w:tc>
          <w:tcPr>
            <w:tcW w:w="7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Значение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Дата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38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2381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Розничные продажи алкогольной продукции на душу населения (в литрах)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4,9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31.12.2019</w:t>
            </w:r>
          </w:p>
        </w:tc>
        <w:tc>
          <w:tcPr>
            <w:tcW w:w="7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4,9</w:t>
            </w:r>
          </w:p>
        </w:tc>
        <w:tc>
          <w:tcPr>
            <w:tcW w:w="7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4,8</w:t>
            </w:r>
          </w:p>
        </w:tc>
        <w:tc>
          <w:tcPr>
            <w:tcW w:w="7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4,8</w:t>
            </w:r>
          </w:p>
        </w:tc>
        <w:tc>
          <w:tcPr>
            <w:tcW w:w="7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4,7</w:t>
            </w:r>
          </w:p>
        </w:tc>
        <w:tc>
          <w:tcPr>
            <w:tcW w:w="7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4,6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2381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Розничная продажа сигарет и папирос на душу населения (тысяч штук)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1,8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31.12.2019</w:t>
            </w:r>
          </w:p>
        </w:tc>
        <w:tc>
          <w:tcPr>
            <w:tcW w:w="7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1,7</w:t>
            </w:r>
          </w:p>
        </w:tc>
        <w:tc>
          <w:tcPr>
            <w:tcW w:w="7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1,6</w:t>
            </w:r>
          </w:p>
        </w:tc>
        <w:tc>
          <w:tcPr>
            <w:tcW w:w="7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1,4</w:t>
            </w:r>
          </w:p>
        </w:tc>
        <w:tc>
          <w:tcPr>
            <w:tcW w:w="7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1,3</w:t>
            </w:r>
          </w:p>
        </w:tc>
        <w:tc>
          <w:tcPr>
            <w:tcW w:w="7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1,15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3.</w:t>
            </w:r>
          </w:p>
        </w:tc>
        <w:tc>
          <w:tcPr>
            <w:tcW w:w="2381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Смертность мужчин трудоспособного возраста (на 100 тыс. населения)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631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31.12.2019</w:t>
            </w:r>
          </w:p>
        </w:tc>
        <w:tc>
          <w:tcPr>
            <w:tcW w:w="7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614,4</w:t>
            </w:r>
          </w:p>
        </w:tc>
        <w:tc>
          <w:tcPr>
            <w:tcW w:w="7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582,0</w:t>
            </w:r>
          </w:p>
        </w:tc>
        <w:tc>
          <w:tcPr>
            <w:tcW w:w="7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560,0</w:t>
            </w:r>
          </w:p>
        </w:tc>
        <w:tc>
          <w:tcPr>
            <w:tcW w:w="7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538,0</w:t>
            </w:r>
          </w:p>
        </w:tc>
        <w:tc>
          <w:tcPr>
            <w:tcW w:w="7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492,0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</w:t>
            </w:r>
          </w:p>
        </w:tc>
        <w:tc>
          <w:tcPr>
            <w:tcW w:w="2381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Смертность женщин трудоспособного возраста (на 100 тыс. населения)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155,8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31.12.2019</w:t>
            </w:r>
          </w:p>
        </w:tc>
        <w:tc>
          <w:tcPr>
            <w:tcW w:w="7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152,0</w:t>
            </w:r>
          </w:p>
        </w:tc>
        <w:tc>
          <w:tcPr>
            <w:tcW w:w="7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149,0</w:t>
            </w:r>
          </w:p>
        </w:tc>
        <w:tc>
          <w:tcPr>
            <w:tcW w:w="7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148,0</w:t>
            </w:r>
          </w:p>
        </w:tc>
        <w:tc>
          <w:tcPr>
            <w:tcW w:w="7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147,0</w:t>
            </w:r>
          </w:p>
        </w:tc>
        <w:tc>
          <w:tcPr>
            <w:tcW w:w="7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146,0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5.</w:t>
            </w:r>
          </w:p>
        </w:tc>
        <w:tc>
          <w:tcPr>
            <w:tcW w:w="2381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Смертность от всех причин на 1 тыс. человек населения (случаев)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13,1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31.12.2019</w:t>
            </w:r>
          </w:p>
        </w:tc>
        <w:tc>
          <w:tcPr>
            <w:tcW w:w="7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12,9</w:t>
            </w:r>
          </w:p>
        </w:tc>
        <w:tc>
          <w:tcPr>
            <w:tcW w:w="7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12,7</w:t>
            </w:r>
          </w:p>
        </w:tc>
        <w:tc>
          <w:tcPr>
            <w:tcW w:w="7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12,4</w:t>
            </w:r>
          </w:p>
        </w:tc>
        <w:tc>
          <w:tcPr>
            <w:tcW w:w="7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12,1</w:t>
            </w:r>
          </w:p>
        </w:tc>
        <w:tc>
          <w:tcPr>
            <w:tcW w:w="7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11,7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2381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Охват мероприятиями по диспансеризации взрослого населения области от числа подлежащих диспансеризации (процентов)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31.12.2019</w:t>
            </w:r>
          </w:p>
        </w:tc>
        <w:tc>
          <w:tcPr>
            <w:tcW w:w="7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</w:t>
            </w:r>
          </w:p>
        </w:tc>
        <w:tc>
          <w:tcPr>
            <w:tcW w:w="7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</w:t>
            </w:r>
          </w:p>
        </w:tc>
        <w:tc>
          <w:tcPr>
            <w:tcW w:w="7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</w:t>
            </w:r>
          </w:p>
        </w:tc>
        <w:tc>
          <w:tcPr>
            <w:tcW w:w="7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</w:t>
            </w:r>
          </w:p>
        </w:tc>
        <w:tc>
          <w:tcPr>
            <w:tcW w:w="7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7.</w:t>
            </w:r>
          </w:p>
        </w:tc>
        <w:tc>
          <w:tcPr>
            <w:tcW w:w="2381" w:type="dxa"/>
          </w:tcPr>
          <w:p>
            <w:pPr>
              <w:pStyle w:val="0"/>
            </w:pPr>
            <w:r>
              <w:rPr>
                <w:sz w:val="20"/>
              </w:rPr>
              <w:t xml:space="preserve">Проведение индивидуального или группового углубленного профилактического консультирования в "Центре здоровья" (процент от нуждающихся)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31.12.2019</w:t>
            </w:r>
          </w:p>
        </w:tc>
        <w:tc>
          <w:tcPr>
            <w:tcW w:w="7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</w:t>
            </w:r>
          </w:p>
        </w:tc>
        <w:tc>
          <w:tcPr>
            <w:tcW w:w="7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</w:t>
            </w:r>
          </w:p>
        </w:tc>
        <w:tc>
          <w:tcPr>
            <w:tcW w:w="7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</w:t>
            </w:r>
          </w:p>
        </w:tc>
        <w:tc>
          <w:tcPr>
            <w:tcW w:w="7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</w:t>
            </w:r>
          </w:p>
        </w:tc>
        <w:tc>
          <w:tcPr>
            <w:tcW w:w="7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8.</w:t>
            </w:r>
          </w:p>
        </w:tc>
        <w:tc>
          <w:tcPr>
            <w:tcW w:w="2381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Число лиц, которым рекомендованы индивидуальные планы по здоровому образу жизни (паспорта здоровья) в "Центрах здоровья"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41 676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31.12.2019</w:t>
            </w:r>
          </w:p>
        </w:tc>
        <w:tc>
          <w:tcPr>
            <w:tcW w:w="7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44 000</w:t>
            </w:r>
          </w:p>
        </w:tc>
        <w:tc>
          <w:tcPr>
            <w:tcW w:w="7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47 000</w:t>
            </w:r>
          </w:p>
        </w:tc>
        <w:tc>
          <w:tcPr>
            <w:tcW w:w="7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50 000</w:t>
            </w:r>
          </w:p>
        </w:tc>
        <w:tc>
          <w:tcPr>
            <w:tcW w:w="7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53 000</w:t>
            </w:r>
          </w:p>
        </w:tc>
        <w:tc>
          <w:tcPr>
            <w:tcW w:w="7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55 000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9.</w:t>
            </w:r>
          </w:p>
        </w:tc>
        <w:tc>
          <w:tcPr>
            <w:tcW w:w="2381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Темпы прироста первичной заболеваемости ожирением (проценты)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31.12.2019</w:t>
            </w:r>
          </w:p>
        </w:tc>
        <w:tc>
          <w:tcPr>
            <w:tcW w:w="7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13,8</w:t>
            </w:r>
          </w:p>
        </w:tc>
        <w:tc>
          <w:tcPr>
            <w:tcW w:w="7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13,7</w:t>
            </w:r>
          </w:p>
        </w:tc>
        <w:tc>
          <w:tcPr>
            <w:tcW w:w="7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13,4</w:t>
            </w:r>
          </w:p>
        </w:tc>
        <w:tc>
          <w:tcPr>
            <w:tcW w:w="7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13,0</w:t>
            </w:r>
          </w:p>
        </w:tc>
        <w:tc>
          <w:tcPr>
            <w:tcW w:w="7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11,8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10.</w:t>
            </w:r>
          </w:p>
        </w:tc>
        <w:tc>
          <w:tcPr>
            <w:tcW w:w="2381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Количество работающих граждан, вовлеченных в реализацию корпоративных программ (тысяч человек)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31.12.2019</w:t>
            </w:r>
          </w:p>
        </w:tc>
        <w:tc>
          <w:tcPr>
            <w:tcW w:w="7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7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  <w:tc>
          <w:tcPr>
            <w:tcW w:w="7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</w:t>
            </w:r>
          </w:p>
        </w:tc>
        <w:tc>
          <w:tcPr>
            <w:tcW w:w="7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</w:t>
            </w:r>
          </w:p>
        </w:tc>
        <w:tc>
          <w:tcPr>
            <w:tcW w:w="7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2"/>
        <w:jc w:val="right"/>
      </w:pPr>
      <w:r>
        <w:rPr>
          <w:sz w:val="20"/>
        </w:rPr>
        <w:t xml:space="preserve">Таблица 12</w:t>
      </w:r>
    </w:p>
    <w:p>
      <w:pPr>
        <w:pStyle w:val="0"/>
        <w:jc w:val="both"/>
      </w:pPr>
      <w:r>
        <w:rPr>
          <w:sz w:val="20"/>
        </w:rPr>
      </w:r>
    </w:p>
    <w:bookmarkStart w:id="2502" w:name="P2502"/>
    <w:bookmarkEnd w:id="2502"/>
    <w:p>
      <w:pPr>
        <w:pStyle w:val="2"/>
        <w:jc w:val="center"/>
      </w:pPr>
      <w:r>
        <w:rPr>
          <w:sz w:val="20"/>
        </w:rPr>
        <w:t xml:space="preserve">План мероприятий программы Белгородской области</w:t>
      </w:r>
    </w:p>
    <w:p>
      <w:pPr>
        <w:pStyle w:val="2"/>
        <w:jc w:val="center"/>
      </w:pPr>
      <w:r>
        <w:rPr>
          <w:sz w:val="20"/>
        </w:rPr>
        <w:t xml:space="preserve">"Укрепление общественного здоровья на 2020 - 2024 годы"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80"/>
        <w:gridCol w:w="2665"/>
        <w:gridCol w:w="1204"/>
        <w:gridCol w:w="1264"/>
        <w:gridCol w:w="1304"/>
        <w:gridCol w:w="1984"/>
      </w:tblGrid>
      <w:tr>
        <w:tc>
          <w:tcPr>
            <w:tcW w:w="68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2665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работы</w:t>
            </w:r>
          </w:p>
        </w:tc>
        <w:tc>
          <w:tcPr>
            <w:gridSpan w:val="2"/>
            <w:tcW w:w="24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Сроки реализации</w:t>
            </w:r>
          </w:p>
        </w:tc>
        <w:tc>
          <w:tcPr>
            <w:tcW w:w="130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Вид документа</w:t>
            </w:r>
          </w:p>
        </w:tc>
        <w:tc>
          <w:tcPr>
            <w:tcW w:w="198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Ответственный исполнитель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Начало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Окончание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66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</w:tr>
      <w:tr>
        <w:tc>
          <w:tcPr>
            <w:gridSpan w:val="6"/>
            <w:tcW w:w="9101" w:type="dxa"/>
          </w:tcPr>
          <w:p>
            <w:pPr>
              <w:pStyle w:val="0"/>
              <w:outlineLvl w:val="3"/>
              <w:jc w:val="center"/>
            </w:pPr>
            <w:r>
              <w:rPr>
                <w:sz w:val="20"/>
              </w:rPr>
              <w:t xml:space="preserve">1. Развитие инфраструктуры общественного здоровья, повышение обеспеченности кадрами в сфере общественного здоровья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1.1.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Разработка и внесение на согласование в Правительство Белгородской области проектов нормативных правовых актов по вопросам формирования среды, способствующей ведению гражданами здорового образа жизни, основанных на рекомендациях Всемирной организации здравоохранения и нормативов Российской Федерации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01.01.2020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07.11.2024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Нормативные акты Правительства Белгородской области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Крылова Л.С.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1.2.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Организация на базе ОГБУЗ особого типа "Областной центр медицинской профилактики" регионального центра общественного здоровья. Укомплектование и дооснащение его в соответствии с утвержденными требованиями Министерства здравоохранения Российской Федерации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15.01.2020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25.12.2020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Приказ департамента здравоохранения и социальной защиты населения Белгородской области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Михайлова Т.В.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1.3.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Создание на базе ОГБУЗ "Ракитянская ЦРБ", ОГБУЗ "Яковлевская ЦРБ", ОГБУЗ "Центр медицинской профилактики города Старый Оскол", ОГБУЗ "Алексеевская ЦРБ",</w:t>
            </w:r>
          </w:p>
          <w:p>
            <w:pPr>
              <w:pStyle w:val="0"/>
            </w:pPr>
            <w:r>
              <w:rPr>
                <w:sz w:val="20"/>
              </w:rPr>
              <w:t xml:space="preserve">ОГБУЗ "Губкинская ЦРБ",</w:t>
            </w:r>
          </w:p>
          <w:p>
            <w:pPr>
              <w:pStyle w:val="0"/>
            </w:pPr>
            <w:r>
              <w:rPr>
                <w:sz w:val="20"/>
              </w:rPr>
              <w:t xml:space="preserve">ОГБУЗ "Валуйская ЦРБ" межрайонных центров общественного здоровья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03.02.2020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25.12.2020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Приказ департамента здравоохранения и социальной защиты населения Белгородской области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Крылова Л.С., главные врачи медицинских организаций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1.4.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Разработка и внедрение алгоритма взаимодействия Регионального и межрайонных центров общественного здоровья с муниципальными образованиями и медицинскими организациями области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01.08.2020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20.09.2020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Алгоритм взаимодействия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Крылова Л.С., Бабицын С.Н.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1.5.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Ежеквартальный мониторинг реализации региональных программ и проектов, направленных на сокращение. распространения факторов риска хронических неинфекционных заболеваний среди населения области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31.03.2020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25.12.2024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Аналитическая информация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Михайлова Т.В., Ичева М.В.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1.6.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Разработка муниципальных программ по укреплению здоровья населения, направленных на сокращение действия факторов риска развития неинфекционных</w:t>
            </w:r>
          </w:p>
          <w:p>
            <w:pPr>
              <w:pStyle w:val="0"/>
            </w:pPr>
            <w:r>
              <w:rPr>
                <w:sz w:val="20"/>
              </w:rPr>
              <w:t xml:space="preserve">заболеваний, включая мероприятия по первичной профилактике стоматологических заболеваний (Далее - Муниципальная программа общественного здоровья)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15.01.2020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15.12.2024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Муниципальные программы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Николаева И.В., Михайлова Т.В., заместители глав муниципальных районов и городских округов по социальной политике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1.7.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Внедрение в 20 процентах муниципальных районов и городских округов области Муниципальных программ общественного здоровья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01.04.2020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15.12.2020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Отчеты руководителей муниципальных программ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Николаева И.В., Михайлова Т.В., заместители глав муниципальных районов и городских округов по социальной политике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1.8.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Внедрение в 50 процентах муниципальных районов и городских округов области Муниципальных программ общественного здоровья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01.04.2020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15.12.2021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Отчеты руководителей муниципальных программ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Николаева И.В., Михайлова Т.В., заместители глав муниципальных районов и городских округов по социальной политике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1.9.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Внедрение в 100 процентах муниципальных районов и городских округов области Муниципальных программ общественного здоровья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01.04.2020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15.12.2022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Отчеты руководителей муниципальных программ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Николаева И.В., Михайлова Т.В., заместители глав муниципальных районов и городских округов по социальной политике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1.10.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Мониторинг реализации Муниципальных программ общественного здоровья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10.01.2021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15.12.2024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Аналитическая информация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Михайлова Т.В.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1.11.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Разработка методических материалов по оздоровлению населения с привлечением органов местного самоуправления, органов власти (здравоохранения, социальной защиты, образования и др.), общественных организаций, волонтерского движения для внедрения в муниципальных образованиях области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13.07.2020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14.11.2020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Методические материалы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Михайлова Т.В.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1.12.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Проведение обучающих мероприятий для врачей первичного звена здравоохранения по методикам мотивирования населения к ведению здорового образа жизни и коррекции факторов риска развития хронических неинфекционных заболеваний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01.02.2020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25.12.2024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Информационная справка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Бабицын С.Н., Куликовский В.Ф.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1.13.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Организация циклов тематического повышения квалификации специалистов с высшим и средним медицинским образованием "Профилактика хронических неинфекционных заболеваний и формирование здорового образа жизни"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01.02.2020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25.12.2024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Информационная справка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Андронова Е.А., Бабицын С.Н., Куликовский В.Ф.</w:t>
            </w:r>
          </w:p>
        </w:tc>
      </w:tr>
      <w:tr>
        <w:tc>
          <w:tcPr>
            <w:gridSpan w:val="6"/>
            <w:tcW w:w="9101" w:type="dxa"/>
          </w:tcPr>
          <w:p>
            <w:pPr>
              <w:pStyle w:val="0"/>
              <w:outlineLvl w:val="3"/>
              <w:jc w:val="center"/>
            </w:pPr>
            <w:r>
              <w:rPr>
                <w:sz w:val="20"/>
              </w:rPr>
              <w:t xml:space="preserve">2. Мотивирование граждан к ведению здорового образа жизни посредством проведения информационно-коммуникационной кампании, а также вовлечения граждан и некоммерческих организаций в мероприятия по укреплению общественного здоровья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2.1.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Разработка информационно-коммуникационной кампании с использованием основных телекоммуникационных каналов для всех целевых аудиторий с привлечением волонтеров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01.12.2020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25.12.2024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Утвержденный ежегодный план информационно-коммуникационной кампании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Михайлова Т.В.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2.2.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Разработка не менее 15 рекламно-информационных материалов, направленных на пропаганду сокращения потребления алкоголя и табака, а также иных форм потребления никотина, пропаганду ответственного отношения к рациону питания, ответственного отношения к репродуктивному здоровью и повышение приверженности вакцинации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01.12.2020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25.12.2024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Ежегодный отчет о распространении рекламно-информационных материалов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Михайлова Т.В.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2.3.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Мониторинг реализации информационно-коммуникационной кампании с использованием основных телекоммуникационных каналов для всех целевых аудиторий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15.01.2020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25.12.2024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Аналитическая информация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Бабицын С.Н. Заместители глав администраций муниципальных районов и городских округов по социальной политике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2.4.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Организация работы телефонов доверия и "горячих линий" по вопросам табачной зависимости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15.01.2020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25.12.2024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Николаева И.В.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2.5.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Проведение ежегодного конкурса по отбору проектов на предоставление субсидий некоммерческим организациям, реализующим проекты по формированию приверженности здоровому образу жизни. Размещение лучших проектов на официальном сайте Губернатора и Правительства Белгородской области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20.02.2020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30.10.2024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Информация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Крылова Л.С.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2.6.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Разработка модельной муниципальной программы "Улучшение состояния здоровья детей"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01.02.2020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29.11.2020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Модельная муниципальная программа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Николаева И.В. Михайлова Т.В. Шишкина И.Ю.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2.7.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Апробация в общеобразовательных учреждениях г. Белгорода модельной муниципальной программы "Улучшение состояния здоровья детей"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15.01.2021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30.12.2021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Аналитическая справка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Подобед М.А.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2.8.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Подготовка методических материалов по результатам апробации для внедрения в муниципальных образованиях области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01.02.2022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30.06.2022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Методические материалы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Подобед М.А.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2.9.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Внедрение в деятельность координационных советов по общественному здоровью при главе администрации муниципальных районов и городских округов муниципальной программы "Улучшение состояния здоровья детей"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01.07.2022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25.12.2024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Утвержденные модельные муниципальные программы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Бабицын С.Н.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2.10.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Мониторинг реализации в муниципальных районах и городских округах области программы "Улучшение состояния здоровья детей"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10.08.2022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25.12.2024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Аналитическая справка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Подобед М.А.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2.11.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Разработка методических материалов по организации группового углубленного консультирования (школы пациента) в медицинских организациях области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10.03.2020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01.07.2020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Методические материалы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Михайлова Т.В.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2.12.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Мониторинг проведения диспансеризации и профилактических осмотров взрослого населения (ежемесячно)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01.04.2020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25.12.2024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Аналитическая справка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Михайлова Т.В.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2.13.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Заключение соглашения с волонтерскими организациями области о сотрудничестве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01.03.2020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01.12.2020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Копии соглашений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Подобед М.А.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2.14.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Разработка модельной программы по обучению волонтеров методикам и методам мотивирования граждан к ведению здорового образа жизни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10.05.2020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21.08.2020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Модельная программа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Подобед М.А.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2.15.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Проведение обучающих семинаров для волонтеров на базе регионального центра общественного здоровья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01.04.2020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25.12.2020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Информационная справка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Бабицын С.Н.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2.16.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Разработка рекомендаций по лучшим практикам реализации волонтерства в сфере охраны здоровья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20.09.2020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15.12.2021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Рекомендации, утвержденные департаментом здравоохранения и социальной защиты населения Белгородской области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Николаева И.В.</w:t>
            </w:r>
          </w:p>
        </w:tc>
      </w:tr>
      <w:tr>
        <w:tc>
          <w:tcPr>
            <w:gridSpan w:val="6"/>
            <w:tcW w:w="9101" w:type="dxa"/>
          </w:tcPr>
          <w:p>
            <w:pPr>
              <w:pStyle w:val="0"/>
              <w:outlineLvl w:val="3"/>
              <w:jc w:val="center"/>
            </w:pPr>
            <w:r>
              <w:rPr>
                <w:sz w:val="20"/>
              </w:rPr>
              <w:t xml:space="preserve">3. Разработка и внедрение корпоративных программ укрепления здоровья на рабочем месте (корпоративных программ укрепления здоровья)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3.1.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Разработка муниципальной программы "Улучшение состояния здоровья работающего населения" (корпоративные программы)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01.02.2020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29.12.2020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Проект программы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Николаева И.В. Михайлова Т.В. Паламарчук Ю.Ю.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3.2.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Апробация в трудовых коллективах г. Белгорода модельной муниципальной программы "Улучшение состояния здоровья работающего населения"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02.03.2021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30.12.2021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Аналитическая справка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Паламарчук Ю.Ю.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3.3.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Подготовка методических материалов по результатам апробации для внедрения в муниципальных районах области</w:t>
            </w:r>
          </w:p>
          <w:p>
            <w:pPr>
              <w:pStyle w:val="0"/>
            </w:pPr>
            <w:r>
              <w:rPr>
                <w:sz w:val="20"/>
              </w:rPr>
              <w:t xml:space="preserve">модельной программы "Улучшение состояния здоровья работающего населения"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03.02.2021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25.02.2021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Методические материалы, утвержденные департаментом здравоохранения и социальной защиты населения Белгородской области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Паламарчук Ю.Ю.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3.4.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Внедрение в деятельность трудовых коллективов области модельной программы "Улучшение состояния здоровья работающего населения"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01.07.2021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25.12.2024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Утвержденные модельные программы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Паламарчук Ю.Ю.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3.5.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Мониторинг реализации в муниципальных районах области модельной программы "Улучшение состояния здоровья работающего населения"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10.08.2021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25.12.2024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Аналитическая справка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Подобед М.А.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3.6.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Организация и проведение областного конкурса на лучшую практику по охране и укреплению корпоративного здоровья и формированию ЗОЖ работающих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15.01.2021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15.06.2021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Отчет о проведении конкурса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Щибрик Е.В.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3.7.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По итогам конкурса разработка рекомендаций, содержащих лучшие практики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20.06.2021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25.12.2021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Отчет о внедрении корпоративных программ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Щибрик Е.В.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3.8.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Проведение спортивных массовых мероприятий, зимних и летних отраслевых спартакиад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10.03.2020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25.12.2024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Отчет о проведенных мероприятиях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Николаева И.В., Шаталов Н.М.</w:t>
            </w:r>
          </w:p>
        </w:tc>
      </w:tr>
      <w:tr>
        <w:tc>
          <w:tcPr>
            <w:gridSpan w:val="6"/>
            <w:tcW w:w="9101" w:type="dxa"/>
          </w:tcPr>
          <w:p>
            <w:pPr>
              <w:pStyle w:val="0"/>
              <w:outlineLvl w:val="3"/>
              <w:jc w:val="center"/>
            </w:pPr>
            <w:r>
              <w:rPr>
                <w:sz w:val="20"/>
              </w:rPr>
              <w:t xml:space="preserve">4. Формирование среды, способствующей ведению гражданами здорового образа жизни, включая здоровое питание, защиту от табачного дыма, снижение потребления алкоголя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4.1.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Использование спортивных сооружений, объектов, залов с целью повышения уровня физической активности населения в рамках оздоровления различных возрастных групп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10.03.2020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25.12.2024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Аналитическая справка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Николаева И.В., Михайлова Т.В., Жигалова Н.Ю.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4.2.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Организация физкультурно-массовой работы на спортивных площадках в шаговой доступности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10.03.2020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25.12.2024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Ежеквартальный отчет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Жигалова Н.Ю.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6"/>
            <w:tcW w:w="9101" w:type="dxa"/>
            <w:tcBorders>
              <w:bottom w:val="nil"/>
            </w:tcBorders>
          </w:tcPr>
          <w:p>
            <w:pPr>
              <w:pStyle w:val="0"/>
              <w:outlineLvl w:val="3"/>
              <w:jc w:val="center"/>
            </w:pPr>
            <w:r>
              <w:rPr>
                <w:sz w:val="20"/>
              </w:rPr>
              <w:t xml:space="preserve">5. Мероприятия по первичной профилактике заболеваний полости рта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6"/>
            <w:tcW w:w="9101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(введен </w:t>
            </w:r>
            <w:hyperlink w:history="0" r:id="rId14" w:tooltip="Постановление Правительства Белгородской обл. от 26.04.2021 N 152-пп &quot;О внесении изменений в постановление Правительства Белгородской области от 25 февраля 2020 года N 60-пп&quot; {КонсультантПлюс}">
              <w:r>
                <w:rPr>
                  <w:sz w:val="20"/>
                  <w:color w:val="0000ff"/>
                </w:rPr>
                <w:t xml:space="preserve">постановлением</w:t>
              </w:r>
            </w:hyperlink>
            <w:r>
              <w:rPr>
                <w:sz w:val="20"/>
              </w:rPr>
              <w:t xml:space="preserve"> Правительства Белгородской области от 26.04.2021 N 152-пп)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5.1.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Ежегодная актуализация региональной и муниципальных программ по укреплению здоровья населения, направленных на сокращение действия факторов риска заболеваний, включая мероприятия по первичной профилактике стоматологических заболеваний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15.01.2021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25.12.2024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Ежегодный отчет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Крылова Л.С.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5.2.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Ежеквартальный мониторинг реализации региональной и муниципальных программ и проектов, направленных на сокращение распространения факторов риска хронических неинфекционных заболеваний среди различных возрастных групп населения области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12.04.2021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25.12.2024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Ежеквартальный отчет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Михайлова Т.В.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5.3.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Проведение социологических исследований:</w:t>
            </w:r>
          </w:p>
          <w:p>
            <w:pPr>
              <w:pStyle w:val="0"/>
            </w:pPr>
            <w:r>
              <w:rPr>
                <w:sz w:val="20"/>
              </w:rPr>
              <w:t xml:space="preserve">- осведомленность различных социальных групп населения в вопросах гигиены полости рта;</w:t>
            </w:r>
          </w:p>
          <w:p>
            <w:pPr>
              <w:pStyle w:val="0"/>
            </w:pPr>
            <w:r>
              <w:rPr>
                <w:sz w:val="20"/>
              </w:rPr>
              <w:t xml:space="preserve">- отношение медицинского персонала и населения к различным аспектам санитарного просвещения и оценка уровня знаний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18.10.2021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23.12.2021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Результаты исследований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Овчинников И.В.,</w:t>
            </w:r>
          </w:p>
          <w:p>
            <w:pPr>
              <w:pStyle w:val="0"/>
            </w:pPr>
            <w:r>
              <w:rPr>
                <w:sz w:val="20"/>
              </w:rPr>
              <w:t xml:space="preserve">Понамарев А.А.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5.4.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Разработка методических материалов по оздоровлению населения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12.04.2021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25.12.2024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Методические материалы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Овчинников И.В.,</w:t>
            </w:r>
          </w:p>
          <w:p>
            <w:pPr>
              <w:pStyle w:val="0"/>
            </w:pPr>
            <w:r>
              <w:rPr>
                <w:sz w:val="20"/>
              </w:rPr>
              <w:t xml:space="preserve">Понамарев А.А.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5.5.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Проведение обучающих мероприятий для врачей первичного звена по методикам мотивирования населения к ведению здорового образа жизни и коррекции факторов риска развития хронических неинфекционных заболеваний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10.02.2021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25.12.2024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Аналитическая справка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Михайлова Т.В.,</w:t>
            </w:r>
          </w:p>
          <w:p>
            <w:pPr>
              <w:pStyle w:val="0"/>
            </w:pPr>
            <w:r>
              <w:rPr>
                <w:sz w:val="20"/>
              </w:rPr>
              <w:t xml:space="preserve">Овчинников И.В.,</w:t>
            </w:r>
          </w:p>
          <w:p>
            <w:pPr>
              <w:pStyle w:val="0"/>
            </w:pPr>
            <w:r>
              <w:rPr>
                <w:sz w:val="20"/>
              </w:rPr>
              <w:t xml:space="preserve">Понамарев А.А.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5.6.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Участие в циклах тематического усовершенствования и повышения квалификации специалистов с высшим и средним медицинским образованием "Профилактика хронических неинфекционных заболеваний и формирование здорового образа жизни"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18.01.2021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19.12.2024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Аналитическая справка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Михайлова Т.В.,</w:t>
            </w:r>
          </w:p>
          <w:p>
            <w:pPr>
              <w:pStyle w:val="0"/>
            </w:pPr>
            <w:r>
              <w:rPr>
                <w:sz w:val="20"/>
              </w:rPr>
              <w:t xml:space="preserve">Овчинников И.В.,</w:t>
            </w:r>
          </w:p>
          <w:p>
            <w:pPr>
              <w:pStyle w:val="0"/>
            </w:pPr>
            <w:r>
              <w:rPr>
                <w:sz w:val="20"/>
              </w:rPr>
              <w:t xml:space="preserve">Понамарев А.А.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5.7.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Участие в информационно-коммуникационной кампании для различных возрастных групп населения по первичной профилактике заболеваний полости рта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11.01.2021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19.12.2024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Аналитическая справка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Михайлова Т.В.,</w:t>
            </w:r>
          </w:p>
          <w:p>
            <w:pPr>
              <w:pStyle w:val="0"/>
            </w:pPr>
            <w:r>
              <w:rPr>
                <w:sz w:val="20"/>
              </w:rPr>
              <w:t xml:space="preserve">Овчинников И.В.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5.8.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Организация занятий по гигиеническому воспитанию юношей и девушек-подростков с целью создания здоровой семьи и формирования ответственного отношения к здоровью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15.03.2021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29.12.2024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Аналитическая справка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Заместители глав администраций муниципальных районов и городских округов по социальной политике, главные врачи центральных районных больниц (далее - ЦРБ), Овчинников И.В.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5.9.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Проведение культурно-массовых мероприятий по формированию стереотипа поведения семьи, ориентированной на сохранение здоровья детей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11.01.2021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19.12.2024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Отчет о проведении мероприятий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Заместители глав администраций муниципальных районов и городских округов по социальной политике, главные врачи ЦРБ, Овчинников И.В.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5.10.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Формирование социально-эффективного стиля жизни путем проведения Школ здоровья "Мама, папа, я - здоровая активная семья" по различным тематикам ведения здорового образа жизни (далее - ЗОЖ), первичной профилактике заболеваний полости рта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10.02.2021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25.12.2024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Аналитическая справка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Главные врачи медицинских организаций, Овчинников И.В.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5.11.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Организация в ЦРБ кабинетов профилактики стоматологических заболеваний и гигиены полости рта, введение в штатное расписание должностей гигиенистов стоматологических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12.01.2021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29.12.2021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Утвержденное штатное расписание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Главные врачи ЦРБ,</w:t>
            </w:r>
          </w:p>
          <w:p>
            <w:pPr>
              <w:pStyle w:val="0"/>
            </w:pPr>
            <w:r>
              <w:rPr>
                <w:sz w:val="20"/>
              </w:rPr>
              <w:t xml:space="preserve">Овчинников И.В.,</w:t>
            </w:r>
          </w:p>
          <w:p>
            <w:pPr>
              <w:pStyle w:val="0"/>
            </w:pPr>
            <w:r>
              <w:rPr>
                <w:sz w:val="20"/>
              </w:rPr>
              <w:t xml:space="preserve">Понамарев А.А.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5.12.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Проведение профилактических стоматологических осмотров в организованных детских коллективах (дошкольных и школьных) в рамках реализации регионального проекта "Модернизация детской стоматологической службы Белгородской области"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01.10.2021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28.02.2024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Отчет о проведении мероприятий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Крылова Л.С.,</w:t>
            </w:r>
          </w:p>
          <w:p>
            <w:pPr>
              <w:pStyle w:val="0"/>
            </w:pPr>
            <w:r>
              <w:rPr>
                <w:sz w:val="20"/>
              </w:rPr>
              <w:t xml:space="preserve">Тишина Е.Г.,</w:t>
            </w:r>
          </w:p>
          <w:p>
            <w:pPr>
              <w:pStyle w:val="0"/>
            </w:pPr>
            <w:r>
              <w:rPr>
                <w:sz w:val="20"/>
              </w:rPr>
              <w:t xml:space="preserve">Понамарев А.А.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5.13.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Совершенствование оказания стоматологической помощи сельскому населению: организация на базе центров врачей общей практики стоматологических кабинетов и организация их работы по семейному принципу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15.01.2021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29.12.2021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Аналитическая справка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Главные врачи ЦРБ,</w:t>
            </w:r>
          </w:p>
          <w:p>
            <w:pPr>
              <w:pStyle w:val="0"/>
            </w:pPr>
            <w:r>
              <w:rPr>
                <w:sz w:val="20"/>
              </w:rPr>
              <w:t xml:space="preserve">Овчинников И.В.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5.14.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Проведение профилактических стоматологических осмотров беременным женщинам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ежегодно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ежегодно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Аналитическая справка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Главные врачи медицинских организаций,</w:t>
            </w:r>
          </w:p>
          <w:p>
            <w:pPr>
              <w:pStyle w:val="0"/>
            </w:pPr>
            <w:r>
              <w:rPr>
                <w:sz w:val="20"/>
              </w:rPr>
              <w:t xml:space="preserve">Овчинников И.В.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6"/>
            <w:tcW w:w="9101" w:type="dxa"/>
            <w:tcBorders>
              <w:bottom w:val="nil"/>
            </w:tcBorders>
          </w:tcPr>
          <w:p>
            <w:pPr>
              <w:pStyle w:val="0"/>
              <w:outlineLvl w:val="3"/>
              <w:jc w:val="center"/>
            </w:pPr>
            <w:r>
              <w:rPr>
                <w:sz w:val="20"/>
              </w:rPr>
              <w:t xml:space="preserve">6. Мероприятия по профилактике заболеваний репродуктивной сферы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6"/>
            <w:tcW w:w="9101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(введен </w:t>
            </w:r>
            <w:hyperlink w:history="0" r:id="rId15" w:tooltip="Постановление Правительства Белгородской обл. от 26.04.2021 N 152-пп &quot;О внесении изменений в постановление Правительства Белгородской области от 25 февраля 2020 года N 60-пп&quot; {КонсультантПлюс}">
              <w:r>
                <w:rPr>
                  <w:sz w:val="20"/>
                  <w:color w:val="0000ff"/>
                </w:rPr>
                <w:t xml:space="preserve">постановлением</w:t>
              </w:r>
            </w:hyperlink>
            <w:r>
              <w:rPr>
                <w:sz w:val="20"/>
              </w:rPr>
              <w:t xml:space="preserve"> Правительства Белгородской области от 26.04.2021 N 152-пп)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6.1.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Ежегодная актуализация региональной программы и муниципальных программ по укреплению здоровья населения, направленных на профилактику заболеваний репродуктивной сферы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15.01.2021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25.12.2024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Ежегодный отчет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Крылова Л.С.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6.2.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Ежеквартальный мониторинг реализации региональной программы и муниципальных программ и проектов, направленных на профилактику заболеваний репродуктивной сферы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12.04.2021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25.12.2024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Ежеквартальный отчет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Михайлова Т.В.,</w:t>
            </w:r>
          </w:p>
          <w:p>
            <w:pPr>
              <w:pStyle w:val="0"/>
            </w:pPr>
            <w:r>
              <w:rPr>
                <w:sz w:val="20"/>
              </w:rPr>
              <w:t xml:space="preserve">Иконников А.А.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6.3.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Совершенствование образовательных программ и методик обучения, направленных на ответственное отношение к репродуктивному здоровью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11.01.2020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30.12.2024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Ежегодный отчет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Крылова Л.С.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6.3.1.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Обучение врачей, оказывающих медицинскую помощь в рамках медицинской реабилитации, методам профилактики и лечения постабортных осложнений, а также послеродовой депрессии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29.01.2021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30.12.2024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Дополнительная профессиональная программа повышения квалификации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Белоусов Н.И.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6.3.2.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Проведение семинаров и тренингов по профилактике абортов для врачей акушеров-гинекологов и психологов с участием представителей профильных некоммерческих организаций (далее - НКО)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28.02.2021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30.12.2024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Отчет о проведении мероприятий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Шишкина И.Ю.,</w:t>
            </w:r>
          </w:p>
          <w:p>
            <w:pPr>
              <w:pStyle w:val="0"/>
            </w:pPr>
            <w:r>
              <w:rPr>
                <w:sz w:val="20"/>
              </w:rPr>
              <w:t xml:space="preserve">главные врачи медицинских организаций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6.3.3.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Создание школ по сохранению репродуктивного здоровья на базе ОГБУЗ особого типа "Областной центр общественного здоровья и медицинской профилактики"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17.03.2021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09.06.2021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Приказ департамента здравоохранения Белгородской области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Михайлова Т.В.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6.3.4.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Обучение детей и их родителей в детских дошкольных и общеобразовательных учреждениях основам соблюдения личной гигиены, рациональной организации режима дня ребенка, двигательной активности, здорового питания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15.03.2021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29.12.2024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Аналитическая справка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Заместители глав администраций муниципальных районов и городских округов по социальной политике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6.3.5.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Информирование и обучение методам контрацепции подростков в общеобразовательных учреждениях. Информирование родителей подростков о методах контрацепции в подростковом периоде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11.01.2021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19.12.2024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Отчет о проведении мероприятий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Заместители глав администраций муниципальных районов и городских округов по социальной политике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6.4.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Подготовка наглядных материалов для оформления приемных отделений медицинских организаций, имеющих лицензии на осуществление медицинской деятельности, содержащей работу (услугу) по акушерству и гинекологии, и их размещение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22.03.2021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01.08.2021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Наглядные материалы, фотоотчет о размещении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Шишкина И.Ю.,</w:t>
            </w:r>
          </w:p>
          <w:p>
            <w:pPr>
              <w:pStyle w:val="0"/>
            </w:pPr>
            <w:r>
              <w:rPr>
                <w:sz w:val="20"/>
              </w:rPr>
              <w:t xml:space="preserve">Михайлова Т.В.,</w:t>
            </w:r>
          </w:p>
          <w:p>
            <w:pPr>
              <w:pStyle w:val="0"/>
            </w:pPr>
            <w:r>
              <w:rPr>
                <w:sz w:val="20"/>
              </w:rPr>
              <w:t xml:space="preserve">главные врачи медицинских организаций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6.5.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Демонстрация видеороликов, распространение буклетов, брошюр о негативных последствиях аборта для здоровья женщины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10.02.2021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25.12.2024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Аналитическая справка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Главные врачи медицинских организаций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6.6.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Организация работы телефона доверия по вопросам мужского и женского здоровья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12.04.2021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01.06.2021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Приказ по медицинской организации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Гришанова Е.С.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6.7.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Тематические беседы с подростками по темам: "Половое воспитание", "Этика семейно-брачных отношений"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15.03.2021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29.12.2024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График проведения мероприятий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Департамент образования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6.8.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Публикация статей в рубрике "Национальные проекты" на страницах межрайонной газеты "Наша Жизнь" и в социальных сетях: "Аборты - убийство", "Счастье материнства"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10.02.2021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25.12.2024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Опубликованные статьи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Главные врачи медицинских организаций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6.9.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Проведение акции "Добро в село" на территории области с целью формирования у жителей приверженности к здоровому образу жизни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11.01.2021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19.12.2024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Отчет о проведении мероприятий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Заместители глав администраций муниципальных районов и городских округов по социальной политике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6.10.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Выработка у подрастающего поколения социально-психологического иммунитета к употреблению энергетиков, наркотических средств, табака, алкоголя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11.01.2021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19.12.2024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Отчет о проведении мероприятий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Заместители глав администраций муниципальных районов и городских округов по социальной политике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6.11.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Организация проведения мониторинга потребления табака в соответствии с методикой (STEPS), оценка эффективности реализации мероприятий, направленных на предотвращение воздействия табачного дыма и сокращение потребления табака среди взрослого и детского населения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21.02.2022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25.12.2024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Результаты мониторинга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Главные врачи медицинских организаций,</w:t>
            </w:r>
          </w:p>
          <w:p>
            <w:pPr>
              <w:pStyle w:val="0"/>
            </w:pPr>
            <w:r>
              <w:rPr>
                <w:sz w:val="20"/>
              </w:rPr>
              <w:t xml:space="preserve">Михайлова Т.В.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6.12.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Обучение и подготовка драйверов здоровья в организованных коллективах, на предприятиях для популяризации ЗОЖ и мотивирования к отказу от вредных привычек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21.02.2022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25.12.2024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Отчет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Руководители организаций и предприятий,</w:t>
            </w:r>
          </w:p>
          <w:p>
            <w:pPr>
              <w:pStyle w:val="0"/>
            </w:pPr>
            <w:r>
              <w:rPr>
                <w:sz w:val="20"/>
              </w:rPr>
              <w:t xml:space="preserve">Михайлова Т.В.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6.13.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Изучение путем анкетирования уровня информированности населения по вопросам</w:t>
            </w:r>
          </w:p>
          <w:p>
            <w:pPr>
              <w:pStyle w:val="0"/>
            </w:pPr>
            <w:r>
              <w:rPr>
                <w:sz w:val="20"/>
              </w:rPr>
              <w:t xml:space="preserve">ЗОЖ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15.02.2021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25.12.2024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Результаты анкетирования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Главные врачи медицинских организаций,</w:t>
            </w:r>
          </w:p>
          <w:p>
            <w:pPr>
              <w:pStyle w:val="0"/>
            </w:pPr>
            <w:r>
              <w:rPr>
                <w:sz w:val="20"/>
              </w:rPr>
              <w:t xml:space="preserve">Михайлова Т.В.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6.14.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Популяризация диспансеризации и профилактических осмотров как эффективных мероприятий по диагностике и профилактике заболеваний репродуктивной сферы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10.01.2021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25.12.2024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Отчет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Главные врачи медицинских организаций,</w:t>
            </w:r>
          </w:p>
          <w:p>
            <w:pPr>
              <w:pStyle w:val="0"/>
            </w:pPr>
            <w:r>
              <w:rPr>
                <w:sz w:val="20"/>
              </w:rPr>
              <w:t xml:space="preserve">Михайлова Т.В.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6.15.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Раннее выявление гинекологических и экстрагенитальных заболеваний, организация индивидуального наблюдения за группами риска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10.01.2021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25.12.2024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Отчет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Иконников А.А.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6.16.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Освещение в СМИ необходимости проведения вакцинации как эффективного мероприятия по профилактике заболеваний репродуктивной сферы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10.01.2021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25.12.2024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Отчет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Главные врачи медицинских организаций,</w:t>
            </w:r>
          </w:p>
          <w:p>
            <w:pPr>
              <w:pStyle w:val="0"/>
            </w:pPr>
            <w:r>
              <w:rPr>
                <w:sz w:val="20"/>
              </w:rPr>
              <w:t xml:space="preserve">Михайлова Т.В.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6.17.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Разработка и внедрение методических рекомендаций для медицинских работников первичного звена "Повышение мотивации к отказу от употребления алкоголя при оказании первичной медико-санитарной помощи женщинам репродуктивного возраста"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01.02.2021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12.06.2021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Методические рекомендации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Михайлова Т.В.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6.18.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Разработка и внедрение методических рекомендаций для медицинских работников первичного звена "Защита здоровья женщин от воздействия табачного дыма, профилактика и лечение потребления табака и табачной зависимости у женщин"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15.06.2021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12.11.2021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Методические рекомендации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Михайлова Т.В.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6.19.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Проведение мероприятий, направленных на популяризацию семейных ценностей и профилактику негативных проявлений в семье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10.01.2021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25.12.2024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Аналитическая справка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Заместители глав администраций муниципальных районов и городских округов по социальной политике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0"/>
              </w:rPr>
              <w:t xml:space="preserve">6.20.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Создание клубов молодых семей в городских и сельских поселениях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10.01.2021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25.12.2024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Отчет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Заместители глав администраций муниципальных районов и городских округов по социальной политике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2"/>
        <w:jc w:val="right"/>
      </w:pPr>
      <w:r>
        <w:rPr>
          <w:sz w:val="20"/>
        </w:rPr>
        <w:t xml:space="preserve">Таблица 13</w:t>
      </w:r>
    </w:p>
    <w:p>
      <w:pPr>
        <w:pStyle w:val="0"/>
        <w:jc w:val="both"/>
      </w:pPr>
      <w:r>
        <w:rPr>
          <w:sz w:val="20"/>
        </w:rPr>
      </w:r>
    </w:p>
    <w:bookmarkStart w:id="3026" w:name="P3026"/>
    <w:bookmarkEnd w:id="3026"/>
    <w:p>
      <w:pPr>
        <w:pStyle w:val="2"/>
        <w:jc w:val="center"/>
      </w:pPr>
      <w:r>
        <w:rPr>
          <w:sz w:val="20"/>
        </w:rPr>
        <w:t xml:space="preserve">Участники реализации программы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2154"/>
        <w:gridCol w:w="6463"/>
      </w:tblGrid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21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Фамилия, инициалы</w:t>
            </w:r>
          </w:p>
        </w:tc>
        <w:tc>
          <w:tcPr>
            <w:tcW w:w="6463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Должность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Акперова</w:t>
            </w:r>
          </w:p>
          <w:p>
            <w:pPr>
              <w:pStyle w:val="0"/>
            </w:pPr>
            <w:r>
              <w:rPr>
                <w:sz w:val="20"/>
              </w:rPr>
              <w:t xml:space="preserve">Татьяна Васильевна</w:t>
            </w:r>
          </w:p>
        </w:tc>
        <w:tc>
          <w:tcPr>
            <w:tcW w:w="6463" w:type="dxa"/>
          </w:tcPr>
          <w:p>
            <w:pPr>
              <w:pStyle w:val="0"/>
            </w:pPr>
            <w:r>
              <w:rPr>
                <w:sz w:val="20"/>
              </w:rPr>
              <w:t xml:space="preserve">Главный врач ОГБУЗ "Красногвардейская ЦРБ"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Андронова Елена Алексеевна</w:t>
            </w:r>
          </w:p>
        </w:tc>
        <w:tc>
          <w:tcPr>
            <w:tcW w:w="6463" w:type="dxa"/>
          </w:tcPr>
          <w:p>
            <w:pPr>
              <w:pStyle w:val="0"/>
            </w:pPr>
            <w:r>
              <w:rPr>
                <w:sz w:val="20"/>
              </w:rPr>
              <w:t xml:space="preserve">Заместитель начальника департамента - начальник управления организационно-контрольной и правовой работы департамента здравоохранения и социальной защиты населения Белгородской области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3.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Бабицын</w:t>
            </w:r>
          </w:p>
          <w:p>
            <w:pPr>
              <w:pStyle w:val="0"/>
            </w:pPr>
            <w:r>
              <w:rPr>
                <w:sz w:val="20"/>
              </w:rPr>
              <w:t xml:space="preserve">Сергей Николаевич</w:t>
            </w:r>
          </w:p>
        </w:tc>
        <w:tc>
          <w:tcPr>
            <w:tcW w:w="6463" w:type="dxa"/>
          </w:tcPr>
          <w:p>
            <w:pPr>
              <w:pStyle w:val="0"/>
            </w:pPr>
            <w:r>
              <w:rPr>
                <w:sz w:val="20"/>
              </w:rPr>
              <w:t xml:space="preserve">Заместитель главного врача по медицинской части ОГБУЗ особого типа "Областной центр медицинской профилактики"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4.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Белоусов</w:t>
            </w:r>
          </w:p>
          <w:p>
            <w:pPr>
              <w:pStyle w:val="0"/>
            </w:pPr>
            <w:r>
              <w:rPr>
                <w:sz w:val="20"/>
              </w:rPr>
              <w:t xml:space="preserve">Игорь Климентьевич</w:t>
            </w:r>
          </w:p>
        </w:tc>
        <w:tc>
          <w:tcPr>
            <w:tcW w:w="6463" w:type="dxa"/>
          </w:tcPr>
          <w:p>
            <w:pPr>
              <w:pStyle w:val="0"/>
            </w:pPr>
            <w:r>
              <w:rPr>
                <w:sz w:val="20"/>
              </w:rPr>
              <w:t xml:space="preserve">Заместитель главы администрации Губкинского городского округа по социальному развитию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5.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Бондарев</w:t>
            </w:r>
          </w:p>
          <w:p>
            <w:pPr>
              <w:pStyle w:val="0"/>
            </w:pPr>
            <w:r>
              <w:rPr>
                <w:sz w:val="20"/>
              </w:rPr>
              <w:t xml:space="preserve">Александр</w:t>
            </w:r>
          </w:p>
          <w:p>
            <w:pPr>
              <w:pStyle w:val="0"/>
            </w:pPr>
            <w:r>
              <w:rPr>
                <w:sz w:val="20"/>
              </w:rPr>
              <w:t xml:space="preserve">Анатольевич</w:t>
            </w:r>
          </w:p>
        </w:tc>
        <w:tc>
          <w:tcPr>
            <w:tcW w:w="6463" w:type="dxa"/>
          </w:tcPr>
          <w:p>
            <w:pPr>
              <w:pStyle w:val="0"/>
            </w:pPr>
            <w:r>
              <w:rPr>
                <w:sz w:val="20"/>
              </w:rPr>
              <w:t xml:space="preserve">Главный врач ОГБУЗ "Борисовская ЦРБ"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Брянцева</w:t>
            </w:r>
          </w:p>
          <w:p>
            <w:pPr>
              <w:pStyle w:val="0"/>
            </w:pPr>
            <w:r>
              <w:rPr>
                <w:sz w:val="20"/>
              </w:rPr>
              <w:t xml:space="preserve">Ирина Николаевна</w:t>
            </w:r>
          </w:p>
        </w:tc>
        <w:tc>
          <w:tcPr>
            <w:tcW w:w="6463" w:type="dxa"/>
          </w:tcPr>
          <w:p>
            <w:pPr>
              <w:pStyle w:val="0"/>
            </w:pPr>
            <w:r>
              <w:rPr>
                <w:sz w:val="20"/>
              </w:rPr>
              <w:t xml:space="preserve">Заместитель главы администрации Алексеевского городского округа по социальной политике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7.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Бычихина</w:t>
            </w:r>
          </w:p>
          <w:p>
            <w:pPr>
              <w:pStyle w:val="0"/>
            </w:pPr>
            <w:r>
              <w:rPr>
                <w:sz w:val="20"/>
              </w:rPr>
              <w:t xml:space="preserve">Татьяна Владимировна</w:t>
            </w:r>
          </w:p>
        </w:tc>
        <w:tc>
          <w:tcPr>
            <w:tcW w:w="6463" w:type="dxa"/>
          </w:tcPr>
          <w:p>
            <w:pPr>
              <w:pStyle w:val="0"/>
            </w:pPr>
            <w:r>
              <w:rPr>
                <w:sz w:val="20"/>
              </w:rPr>
              <w:t xml:space="preserve">Заместитель главы администрации Корочанского района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8.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Ванина</w:t>
            </w:r>
          </w:p>
          <w:p>
            <w:pPr>
              <w:pStyle w:val="0"/>
            </w:pPr>
            <w:r>
              <w:rPr>
                <w:sz w:val="20"/>
              </w:rPr>
              <w:t xml:space="preserve">Марина Вячеславовна</w:t>
            </w:r>
          </w:p>
        </w:tc>
        <w:tc>
          <w:tcPr>
            <w:tcW w:w="6463" w:type="dxa"/>
          </w:tcPr>
          <w:p>
            <w:pPr>
              <w:pStyle w:val="0"/>
            </w:pPr>
            <w:r>
              <w:rPr>
                <w:sz w:val="20"/>
              </w:rPr>
              <w:t xml:space="preserve">Заместитель главы администрации Грайворонского городского округа по социальной политике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9.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Голощапов Игорь Владимирович</w:t>
            </w:r>
          </w:p>
        </w:tc>
        <w:tc>
          <w:tcPr>
            <w:tcW w:w="6463" w:type="dxa"/>
          </w:tcPr>
          <w:p>
            <w:pPr>
              <w:pStyle w:val="0"/>
            </w:pPr>
            <w:r>
              <w:rPr>
                <w:sz w:val="20"/>
              </w:rPr>
              <w:t xml:space="preserve">Главный врач ОГБУЗ "Областной наркологический диспансер"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10.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Дмитриева Татьяна Юрьевна</w:t>
            </w:r>
          </w:p>
        </w:tc>
        <w:tc>
          <w:tcPr>
            <w:tcW w:w="6463" w:type="dxa"/>
          </w:tcPr>
          <w:p>
            <w:pPr>
              <w:pStyle w:val="0"/>
            </w:pPr>
            <w:r>
              <w:rPr>
                <w:sz w:val="20"/>
              </w:rPr>
              <w:t xml:space="preserve">И.о. главного врача ОГБУЗ "Вейделевская ЦРБ"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11.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Дручинина Елена Николаевна</w:t>
            </w:r>
          </w:p>
        </w:tc>
        <w:tc>
          <w:tcPr>
            <w:tcW w:w="6463" w:type="dxa"/>
          </w:tcPr>
          <w:p>
            <w:pPr>
              <w:pStyle w:val="0"/>
            </w:pPr>
            <w:r>
              <w:rPr>
                <w:sz w:val="20"/>
              </w:rPr>
              <w:t xml:space="preserve">Начальник отдела социальной защиты населения администрации Красненского района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12.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Дуброва</w:t>
            </w:r>
          </w:p>
          <w:p>
            <w:pPr>
              <w:pStyle w:val="0"/>
            </w:pPr>
            <w:r>
              <w:rPr>
                <w:sz w:val="20"/>
              </w:rPr>
              <w:t xml:space="preserve">Ирина Вячеславовна</w:t>
            </w:r>
          </w:p>
        </w:tc>
        <w:tc>
          <w:tcPr>
            <w:tcW w:w="6463" w:type="dxa"/>
          </w:tcPr>
          <w:p>
            <w:pPr>
              <w:pStyle w:val="0"/>
            </w:pPr>
            <w:r>
              <w:rPr>
                <w:sz w:val="20"/>
              </w:rPr>
              <w:t xml:space="preserve">Заместитель главы администрации Валуйского городского округа по социальным вопросам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13.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Евсеева</w:t>
            </w:r>
          </w:p>
          <w:p>
            <w:pPr>
              <w:pStyle w:val="0"/>
            </w:pPr>
            <w:r>
              <w:rPr>
                <w:sz w:val="20"/>
              </w:rPr>
              <w:t xml:space="preserve">Алла Александровна</w:t>
            </w:r>
          </w:p>
        </w:tc>
        <w:tc>
          <w:tcPr>
            <w:tcW w:w="6463" w:type="dxa"/>
          </w:tcPr>
          <w:p>
            <w:pPr>
              <w:pStyle w:val="0"/>
            </w:pPr>
            <w:r>
              <w:rPr>
                <w:sz w:val="20"/>
              </w:rPr>
              <w:t xml:space="preserve">Первый заместитель главы администрации Новооскольского городского округа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14.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Елфимова</w:t>
            </w:r>
          </w:p>
          <w:p>
            <w:pPr>
              <w:pStyle w:val="0"/>
            </w:pPr>
            <w:r>
              <w:rPr>
                <w:sz w:val="20"/>
              </w:rPr>
              <w:t xml:space="preserve">Марина Владимировна</w:t>
            </w:r>
          </w:p>
        </w:tc>
        <w:tc>
          <w:tcPr>
            <w:tcW w:w="6463" w:type="dxa"/>
          </w:tcPr>
          <w:p>
            <w:pPr>
              <w:pStyle w:val="0"/>
            </w:pPr>
            <w:r>
              <w:rPr>
                <w:sz w:val="20"/>
              </w:rPr>
              <w:t xml:space="preserve">Главный врач ОГБУЗ "Новооскольская ЦРБ"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15.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Ждановский Олег Михайлович</w:t>
            </w:r>
          </w:p>
        </w:tc>
        <w:tc>
          <w:tcPr>
            <w:tcW w:w="6463" w:type="dxa"/>
          </w:tcPr>
          <w:p>
            <w:pPr>
              <w:pStyle w:val="0"/>
            </w:pPr>
            <w:r>
              <w:rPr>
                <w:sz w:val="20"/>
              </w:rPr>
              <w:t xml:space="preserve">Главный врач ОГБУЗ "Прохоровская ЦРБ"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16.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Жигалова Наталья Юрьевна</w:t>
            </w:r>
          </w:p>
        </w:tc>
        <w:tc>
          <w:tcPr>
            <w:tcW w:w="6463" w:type="dxa"/>
          </w:tcPr>
          <w:p>
            <w:pPr>
              <w:pStyle w:val="0"/>
            </w:pPr>
            <w:r>
              <w:rPr>
                <w:sz w:val="20"/>
              </w:rPr>
              <w:t xml:space="preserve">Начальник управления физической культуры и спорта Белгородской области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17.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Жиров</w:t>
            </w:r>
          </w:p>
          <w:p>
            <w:pPr>
              <w:pStyle w:val="0"/>
            </w:pPr>
            <w:r>
              <w:rPr>
                <w:sz w:val="20"/>
              </w:rPr>
              <w:t xml:space="preserve">Алексей Владимирович</w:t>
            </w:r>
          </w:p>
        </w:tc>
        <w:tc>
          <w:tcPr>
            <w:tcW w:w="6463" w:type="dxa"/>
          </w:tcPr>
          <w:p>
            <w:pPr>
              <w:pStyle w:val="0"/>
            </w:pPr>
            <w:r>
              <w:rPr>
                <w:sz w:val="20"/>
              </w:rPr>
              <w:t xml:space="preserve">Главный врач ОГБУЗ "Корочанская ЦРБ"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18.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Замулин</w:t>
            </w:r>
          </w:p>
          <w:p>
            <w:pPr>
              <w:pStyle w:val="0"/>
            </w:pPr>
            <w:r>
              <w:rPr>
                <w:sz w:val="20"/>
              </w:rPr>
              <w:t xml:space="preserve">Олег Анатольевич</w:t>
            </w:r>
          </w:p>
        </w:tc>
        <w:tc>
          <w:tcPr>
            <w:tcW w:w="6463" w:type="dxa"/>
          </w:tcPr>
          <w:p>
            <w:pPr>
              <w:pStyle w:val="0"/>
            </w:pPr>
            <w:r>
              <w:rPr>
                <w:sz w:val="20"/>
              </w:rPr>
              <w:t xml:space="preserve">Главный врач ОГБУЗ "Белгородская ЦРБ"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19.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Ичева</w:t>
            </w:r>
          </w:p>
          <w:p>
            <w:pPr>
              <w:pStyle w:val="0"/>
            </w:pPr>
            <w:r>
              <w:rPr>
                <w:sz w:val="20"/>
              </w:rPr>
              <w:t xml:space="preserve">Марина Викторовна</w:t>
            </w:r>
          </w:p>
        </w:tc>
        <w:tc>
          <w:tcPr>
            <w:tcW w:w="6463" w:type="dxa"/>
          </w:tcPr>
          <w:p>
            <w:pPr>
              <w:pStyle w:val="0"/>
            </w:pPr>
            <w:r>
              <w:rPr>
                <w:sz w:val="20"/>
              </w:rPr>
              <w:t xml:space="preserve">Начальник информационно-аналитического отдела ОГБУЗ особого типа "Областной центр медицинской профилактики"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20.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Королева</w:t>
            </w:r>
          </w:p>
          <w:p>
            <w:pPr>
              <w:pStyle w:val="0"/>
            </w:pPr>
            <w:r>
              <w:rPr>
                <w:sz w:val="20"/>
              </w:rPr>
              <w:t xml:space="preserve">Елена Александровна</w:t>
            </w:r>
          </w:p>
        </w:tc>
        <w:tc>
          <w:tcPr>
            <w:tcW w:w="6463" w:type="dxa"/>
          </w:tcPr>
          <w:p>
            <w:pPr>
              <w:pStyle w:val="0"/>
            </w:pPr>
            <w:r>
              <w:rPr>
                <w:sz w:val="20"/>
              </w:rPr>
              <w:t xml:space="preserve">Главный врач ОГБУЗ "Чернянская ЦРБ им. П.В.Гапотченко"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21.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Кочерова Анна Михайловна</w:t>
            </w:r>
          </w:p>
        </w:tc>
        <w:tc>
          <w:tcPr>
            <w:tcW w:w="6463" w:type="dxa"/>
          </w:tcPr>
          <w:p>
            <w:pPr>
              <w:pStyle w:val="0"/>
            </w:pPr>
            <w:r>
              <w:rPr>
                <w:sz w:val="20"/>
              </w:rPr>
              <w:t xml:space="preserve">Заместитель главы администрации Шебекинского городского округа по социальной политике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22.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Кравченко Сергей Николаевич</w:t>
            </w:r>
          </w:p>
        </w:tc>
        <w:tc>
          <w:tcPr>
            <w:tcW w:w="6463" w:type="dxa"/>
          </w:tcPr>
          <w:p>
            <w:pPr>
              <w:pStyle w:val="0"/>
            </w:pPr>
            <w:r>
              <w:rPr>
                <w:sz w:val="20"/>
              </w:rPr>
              <w:t xml:space="preserve">Заместитель главы администрации Белгородского района по социально-культурному развитию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23.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Кременев</w:t>
            </w:r>
          </w:p>
          <w:p>
            <w:pPr>
              <w:pStyle w:val="0"/>
            </w:pPr>
            <w:r>
              <w:rPr>
                <w:sz w:val="20"/>
              </w:rPr>
              <w:t xml:space="preserve">Владимир Михайлович</w:t>
            </w:r>
          </w:p>
        </w:tc>
        <w:tc>
          <w:tcPr>
            <w:tcW w:w="6463" w:type="dxa"/>
          </w:tcPr>
          <w:p>
            <w:pPr>
              <w:pStyle w:val="0"/>
            </w:pPr>
            <w:r>
              <w:rPr>
                <w:sz w:val="20"/>
              </w:rPr>
              <w:t xml:space="preserve">Заместитель главы администрации Ивнянского района по социально-культурному развитию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24.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Кротова</w:t>
            </w:r>
          </w:p>
          <w:p>
            <w:pPr>
              <w:pStyle w:val="0"/>
            </w:pPr>
            <w:r>
              <w:rPr>
                <w:sz w:val="20"/>
              </w:rPr>
              <w:t xml:space="preserve">Ирина Викторовна</w:t>
            </w:r>
          </w:p>
        </w:tc>
        <w:tc>
          <w:tcPr>
            <w:tcW w:w="6463" w:type="dxa"/>
          </w:tcPr>
          <w:p>
            <w:pPr>
              <w:pStyle w:val="0"/>
            </w:pPr>
            <w:r>
              <w:rPr>
                <w:sz w:val="20"/>
              </w:rPr>
              <w:t xml:space="preserve">Главный врач ОГБУЗ "Губкинская НРБ"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25.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Крылова</w:t>
            </w:r>
          </w:p>
          <w:p>
            <w:pPr>
              <w:pStyle w:val="0"/>
            </w:pPr>
            <w:r>
              <w:rPr>
                <w:sz w:val="20"/>
              </w:rPr>
              <w:t xml:space="preserve">Людмила Степановна</w:t>
            </w:r>
          </w:p>
        </w:tc>
        <w:tc>
          <w:tcPr>
            <w:tcW w:w="6463" w:type="dxa"/>
          </w:tcPr>
          <w:p>
            <w:pPr>
              <w:pStyle w:val="0"/>
            </w:pPr>
            <w:r>
              <w:rPr>
                <w:sz w:val="20"/>
              </w:rPr>
              <w:t xml:space="preserve">Первый заместитель начальника департамента здравоохранения и социальной защиты населения Белгородской области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26.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Куликовский Владимир Федорович</w:t>
            </w:r>
          </w:p>
        </w:tc>
        <w:tc>
          <w:tcPr>
            <w:tcW w:w="6463" w:type="dxa"/>
          </w:tcPr>
          <w:p>
            <w:pPr>
              <w:pStyle w:val="0"/>
            </w:pPr>
            <w:r>
              <w:rPr>
                <w:sz w:val="20"/>
              </w:rPr>
              <w:t xml:space="preserve">Директор медицинского института НИУ "Белгородский государственный университет"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27.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Липовченко Алексей Петрович</w:t>
            </w:r>
          </w:p>
        </w:tc>
        <w:tc>
          <w:tcPr>
            <w:tcW w:w="6463" w:type="dxa"/>
          </w:tcPr>
          <w:p>
            <w:pPr>
              <w:pStyle w:val="0"/>
            </w:pPr>
            <w:r>
              <w:rPr>
                <w:sz w:val="20"/>
              </w:rPr>
              <w:t xml:space="preserve">Заместитель главы администрации Яковлевского городского округа по социальной политике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28.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Маслов</w:t>
            </w:r>
          </w:p>
          <w:p>
            <w:pPr>
              <w:pStyle w:val="0"/>
            </w:pPr>
            <w:r>
              <w:rPr>
                <w:sz w:val="20"/>
              </w:rPr>
              <w:t xml:space="preserve">Геннадий Петрович</w:t>
            </w:r>
          </w:p>
        </w:tc>
        <w:tc>
          <w:tcPr>
            <w:tcW w:w="6463" w:type="dxa"/>
          </w:tcPr>
          <w:p>
            <w:pPr>
              <w:pStyle w:val="0"/>
            </w:pPr>
            <w:r>
              <w:rPr>
                <w:sz w:val="20"/>
              </w:rPr>
              <w:t xml:space="preserve">Главный врач ОГБУЗ "Валуйская ЦРБ"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29.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Махов</w:t>
            </w:r>
          </w:p>
          <w:p>
            <w:pPr>
              <w:pStyle w:val="0"/>
            </w:pPr>
            <w:r>
              <w:rPr>
                <w:sz w:val="20"/>
              </w:rPr>
              <w:t xml:space="preserve">Максим Алексеевич</w:t>
            </w:r>
          </w:p>
        </w:tc>
        <w:tc>
          <w:tcPr>
            <w:tcW w:w="6463" w:type="dxa"/>
          </w:tcPr>
          <w:p>
            <w:pPr>
              <w:pStyle w:val="0"/>
            </w:pPr>
            <w:r>
              <w:rPr>
                <w:sz w:val="20"/>
              </w:rPr>
              <w:t xml:space="preserve">Главный врач ОГБУЗ "Ивнянская ЦРБ"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30.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Марковский Александр Николаевич</w:t>
            </w:r>
          </w:p>
        </w:tc>
        <w:tc>
          <w:tcPr>
            <w:tcW w:w="6463" w:type="dxa"/>
          </w:tcPr>
          <w:p>
            <w:pPr>
              <w:pStyle w:val="0"/>
            </w:pPr>
            <w:r>
              <w:rPr>
                <w:sz w:val="20"/>
              </w:rPr>
              <w:t xml:space="preserve">Заместитель главы администрации Красногвардейского района по социальной политике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31.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Мизенко Иван Васильевич</w:t>
            </w:r>
          </w:p>
        </w:tc>
        <w:tc>
          <w:tcPr>
            <w:tcW w:w="6463" w:type="dxa"/>
          </w:tcPr>
          <w:p>
            <w:pPr>
              <w:pStyle w:val="0"/>
            </w:pPr>
            <w:r>
              <w:rPr>
                <w:sz w:val="20"/>
              </w:rPr>
              <w:t xml:space="preserve">Главный врач ОГБУЗ "Волоконовская ЦРБ"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32.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Михайлова</w:t>
            </w:r>
          </w:p>
          <w:p>
            <w:pPr>
              <w:pStyle w:val="0"/>
            </w:pPr>
            <w:r>
              <w:rPr>
                <w:sz w:val="20"/>
              </w:rPr>
              <w:t xml:space="preserve">Татьяна Владимировна</w:t>
            </w:r>
          </w:p>
        </w:tc>
        <w:tc>
          <w:tcPr>
            <w:tcW w:w="6463" w:type="dxa"/>
          </w:tcPr>
          <w:p>
            <w:pPr>
              <w:pStyle w:val="0"/>
            </w:pPr>
            <w:r>
              <w:rPr>
                <w:sz w:val="20"/>
              </w:rPr>
              <w:t xml:space="preserve">Главный внештатный специалист по профилактической медицине департамента здравоохранения и социальной защиты населения Белгородской области, главный врач ОГБУЗ особого типа "Областной центр медицинской профилактики"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33.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Мовчан</w:t>
            </w:r>
          </w:p>
          <w:p>
            <w:pPr>
              <w:pStyle w:val="0"/>
            </w:pPr>
            <w:r>
              <w:rPr>
                <w:sz w:val="20"/>
              </w:rPr>
              <w:t xml:space="preserve">Виктория</w:t>
            </w:r>
          </w:p>
          <w:p>
            <w:pPr>
              <w:pStyle w:val="0"/>
            </w:pPr>
            <w:r>
              <w:rPr>
                <w:sz w:val="20"/>
              </w:rPr>
              <w:t xml:space="preserve">Александровна</w:t>
            </w:r>
          </w:p>
        </w:tc>
        <w:tc>
          <w:tcPr>
            <w:tcW w:w="6463" w:type="dxa"/>
          </w:tcPr>
          <w:p>
            <w:pPr>
              <w:pStyle w:val="0"/>
            </w:pPr>
            <w:r>
              <w:rPr>
                <w:sz w:val="20"/>
              </w:rPr>
              <w:t xml:space="preserve">Заместитель главы администрации Краснояружского района по социальной политике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34.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Мухартов</w:t>
            </w:r>
          </w:p>
          <w:p>
            <w:pPr>
              <w:pStyle w:val="0"/>
            </w:pPr>
            <w:r>
              <w:rPr>
                <w:sz w:val="20"/>
              </w:rPr>
              <w:t xml:space="preserve">Андрей Александрович</w:t>
            </w:r>
          </w:p>
        </w:tc>
        <w:tc>
          <w:tcPr>
            <w:tcW w:w="6463" w:type="dxa"/>
          </w:tcPr>
          <w:p>
            <w:pPr>
              <w:pStyle w:val="0"/>
            </w:pPr>
            <w:r>
              <w:rPr>
                <w:sz w:val="20"/>
              </w:rPr>
              <w:t xml:space="preserve">Заместитель главы администрации города Белгорода по социальной политике и образованию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35.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Наплекова</w:t>
            </w:r>
          </w:p>
          <w:p>
            <w:pPr>
              <w:pStyle w:val="0"/>
            </w:pPr>
            <w:r>
              <w:rPr>
                <w:sz w:val="20"/>
              </w:rPr>
              <w:t xml:space="preserve">Светлана</w:t>
            </w:r>
          </w:p>
          <w:p>
            <w:pPr>
              <w:pStyle w:val="0"/>
            </w:pPr>
            <w:r>
              <w:rPr>
                <w:sz w:val="20"/>
              </w:rPr>
              <w:t xml:space="preserve">Владимировна</w:t>
            </w:r>
          </w:p>
        </w:tc>
        <w:tc>
          <w:tcPr>
            <w:tcW w:w="6463" w:type="dxa"/>
          </w:tcPr>
          <w:p>
            <w:pPr>
              <w:pStyle w:val="0"/>
            </w:pPr>
            <w:r>
              <w:rPr>
                <w:sz w:val="20"/>
              </w:rPr>
              <w:t xml:space="preserve">Первый заместитель главы администрации Прохоровского района по социально-культурному развитию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36.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Немцева</w:t>
            </w:r>
          </w:p>
          <w:p>
            <w:pPr>
              <w:pStyle w:val="0"/>
            </w:pPr>
            <w:r>
              <w:rPr>
                <w:sz w:val="20"/>
              </w:rPr>
              <w:t xml:space="preserve">Светлана Алексеевна</w:t>
            </w:r>
          </w:p>
        </w:tc>
        <w:tc>
          <w:tcPr>
            <w:tcW w:w="6463" w:type="dxa"/>
          </w:tcPr>
          <w:p>
            <w:pPr>
              <w:pStyle w:val="0"/>
            </w:pPr>
            <w:r>
              <w:rPr>
                <w:sz w:val="20"/>
              </w:rPr>
              <w:t xml:space="preserve">Главный врач ОГБУЗ "Старооскольская окружная больница святителя Луки Крымского"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37.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Нестеренко Олеся Леонидовна</w:t>
            </w:r>
          </w:p>
        </w:tc>
        <w:tc>
          <w:tcPr>
            <w:tcW w:w="6463" w:type="dxa"/>
          </w:tcPr>
          <w:p>
            <w:pPr>
              <w:pStyle w:val="0"/>
            </w:pPr>
            <w:r>
              <w:rPr>
                <w:sz w:val="20"/>
              </w:rPr>
              <w:t xml:space="preserve">Главный врач ОГБУЗ "Шебекинская ЦРБ"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38.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Николаева</w:t>
            </w:r>
          </w:p>
          <w:p>
            <w:pPr>
              <w:pStyle w:val="0"/>
            </w:pPr>
            <w:r>
              <w:rPr>
                <w:sz w:val="20"/>
              </w:rPr>
              <w:t xml:space="preserve">Ирина Владимировна</w:t>
            </w:r>
          </w:p>
        </w:tc>
        <w:tc>
          <w:tcPr>
            <w:tcW w:w="6463" w:type="dxa"/>
          </w:tcPr>
          <w:p>
            <w:pPr>
              <w:pStyle w:val="0"/>
            </w:pPr>
            <w:r>
              <w:rPr>
                <w:sz w:val="20"/>
              </w:rPr>
              <w:t xml:space="preserve">Заместитель начальника департамента - начальник управления организации медицинской помощи департамента здравоохранения и социальной защиты населения Белгородской области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39.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Овчинникова Надежда Викторовна</w:t>
            </w:r>
          </w:p>
        </w:tc>
        <w:tc>
          <w:tcPr>
            <w:tcW w:w="6463" w:type="dxa"/>
          </w:tcPr>
          <w:p>
            <w:pPr>
              <w:pStyle w:val="0"/>
            </w:pPr>
            <w:r>
              <w:rPr>
                <w:sz w:val="20"/>
              </w:rPr>
              <w:t xml:space="preserve">Главный врач ОГБУЗ "Красненская ЦРБ"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40.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Паламарчук Юлия Юрьевна</w:t>
            </w:r>
          </w:p>
        </w:tc>
        <w:tc>
          <w:tcPr>
            <w:tcW w:w="6463" w:type="dxa"/>
          </w:tcPr>
          <w:p>
            <w:pPr>
              <w:pStyle w:val="0"/>
            </w:pPr>
            <w:r>
              <w:rPr>
                <w:sz w:val="20"/>
              </w:rPr>
              <w:t xml:space="preserve">Заведующий консультативно-оздоровительным отделом ОГБУЗ особого типа "Областной центр медицинской профилактики"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41.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Подобед</w:t>
            </w:r>
          </w:p>
          <w:p>
            <w:pPr>
              <w:pStyle w:val="0"/>
            </w:pPr>
            <w:r>
              <w:rPr>
                <w:sz w:val="20"/>
              </w:rPr>
              <w:t xml:space="preserve">Маргарита</w:t>
            </w:r>
          </w:p>
          <w:p>
            <w:pPr>
              <w:pStyle w:val="0"/>
            </w:pPr>
            <w:r>
              <w:rPr>
                <w:sz w:val="20"/>
              </w:rPr>
              <w:t xml:space="preserve">Александровна</w:t>
            </w:r>
          </w:p>
        </w:tc>
        <w:tc>
          <w:tcPr>
            <w:tcW w:w="6463" w:type="dxa"/>
          </w:tcPr>
          <w:p>
            <w:pPr>
              <w:pStyle w:val="0"/>
            </w:pPr>
            <w:r>
              <w:rPr>
                <w:sz w:val="20"/>
              </w:rPr>
              <w:t xml:space="preserve">Заведующий отделом организационно-методического обеспечения профилактической работы ОГБУЗ особого типа "Областной центр медицинской профилактики"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42.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Пальченко Елена Федоровна</w:t>
            </w:r>
          </w:p>
        </w:tc>
        <w:tc>
          <w:tcPr>
            <w:tcW w:w="6463" w:type="dxa"/>
          </w:tcPr>
          <w:p>
            <w:pPr>
              <w:pStyle w:val="0"/>
            </w:pPr>
            <w:r>
              <w:rPr>
                <w:sz w:val="20"/>
              </w:rPr>
              <w:t xml:space="preserve">Заместитель главы администрации Ровеньского района по социальной политике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43.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Полякова</w:t>
            </w:r>
          </w:p>
          <w:p>
            <w:pPr>
              <w:pStyle w:val="0"/>
            </w:pPr>
            <w:r>
              <w:rPr>
                <w:sz w:val="20"/>
              </w:rPr>
              <w:t xml:space="preserve">Ольга Анатольевна</w:t>
            </w:r>
          </w:p>
        </w:tc>
        <w:tc>
          <w:tcPr>
            <w:tcW w:w="6463" w:type="dxa"/>
          </w:tcPr>
          <w:p>
            <w:pPr>
              <w:pStyle w:val="0"/>
            </w:pPr>
            <w:r>
              <w:rPr>
                <w:sz w:val="20"/>
              </w:rPr>
              <w:t xml:space="preserve">Главный врач ОГБУЗ "Городская поликлиника города Белгорода"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44.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Попов</w:t>
            </w:r>
          </w:p>
          <w:p>
            <w:pPr>
              <w:pStyle w:val="0"/>
            </w:pPr>
            <w:r>
              <w:rPr>
                <w:sz w:val="20"/>
              </w:rPr>
              <w:t xml:space="preserve">Андрей Юрьевич</w:t>
            </w:r>
          </w:p>
        </w:tc>
        <w:tc>
          <w:tcPr>
            <w:tcW w:w="6463" w:type="dxa"/>
          </w:tcPr>
          <w:p>
            <w:pPr>
              <w:pStyle w:val="0"/>
            </w:pPr>
            <w:r>
              <w:rPr>
                <w:sz w:val="20"/>
              </w:rPr>
              <w:t xml:space="preserve">Главный врач ОГБУЗ "Грайворонская ЦРБ"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45.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Рыка</w:t>
            </w:r>
          </w:p>
          <w:p>
            <w:pPr>
              <w:pStyle w:val="0"/>
            </w:pPr>
            <w:r>
              <w:rPr>
                <w:sz w:val="20"/>
              </w:rPr>
              <w:t xml:space="preserve">Татьяна Ивановна</w:t>
            </w:r>
          </w:p>
        </w:tc>
        <w:tc>
          <w:tcPr>
            <w:tcW w:w="6463" w:type="dxa"/>
          </w:tcPr>
          <w:p>
            <w:pPr>
              <w:pStyle w:val="0"/>
            </w:pPr>
            <w:r>
              <w:rPr>
                <w:sz w:val="20"/>
              </w:rPr>
              <w:t xml:space="preserve">Заместитель главы администрации Чернянского района по социальной политике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46.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Рынденко</w:t>
            </w:r>
          </w:p>
          <w:p>
            <w:pPr>
              <w:pStyle w:val="0"/>
            </w:pPr>
            <w:r>
              <w:rPr>
                <w:sz w:val="20"/>
              </w:rPr>
              <w:t xml:space="preserve">Геннадий Георгиевич</w:t>
            </w:r>
          </w:p>
        </w:tc>
        <w:tc>
          <w:tcPr>
            <w:tcW w:w="6463" w:type="dxa"/>
          </w:tcPr>
          <w:p>
            <w:pPr>
              <w:pStyle w:val="0"/>
            </w:pPr>
            <w:r>
              <w:rPr>
                <w:sz w:val="20"/>
              </w:rPr>
              <w:t xml:space="preserve">Главный врач ОГБУЗ "Яковлевская ЦРБ"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47.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Сокольский Виталий Андреевич</w:t>
            </w:r>
          </w:p>
        </w:tc>
        <w:tc>
          <w:tcPr>
            <w:tcW w:w="6463" w:type="dxa"/>
          </w:tcPr>
          <w:p>
            <w:pPr>
              <w:pStyle w:val="0"/>
            </w:pPr>
            <w:r>
              <w:rPr>
                <w:sz w:val="20"/>
              </w:rPr>
              <w:t xml:space="preserve">Главный врач ОГБУЗ "Ровеньская ЦРБ"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48.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Сучалкин</w:t>
            </w:r>
          </w:p>
          <w:p>
            <w:pPr>
              <w:pStyle w:val="0"/>
            </w:pPr>
            <w:r>
              <w:rPr>
                <w:sz w:val="20"/>
              </w:rPr>
              <w:t xml:space="preserve">Евгений Борисович</w:t>
            </w:r>
          </w:p>
        </w:tc>
        <w:tc>
          <w:tcPr>
            <w:tcW w:w="6463" w:type="dxa"/>
          </w:tcPr>
          <w:p>
            <w:pPr>
              <w:pStyle w:val="0"/>
            </w:pPr>
            <w:r>
              <w:rPr>
                <w:sz w:val="20"/>
              </w:rPr>
              <w:t xml:space="preserve">Главный врач ОГБУЗ "Ракитянская ЦРБ"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49.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Халоева</w:t>
            </w:r>
          </w:p>
          <w:p>
            <w:pPr>
              <w:pStyle w:val="0"/>
            </w:pPr>
            <w:r>
              <w:rPr>
                <w:sz w:val="20"/>
              </w:rPr>
              <w:t xml:space="preserve">Светлана Васильевна</w:t>
            </w:r>
          </w:p>
        </w:tc>
        <w:tc>
          <w:tcPr>
            <w:tcW w:w="6463" w:type="dxa"/>
          </w:tcPr>
          <w:p>
            <w:pPr>
              <w:pStyle w:val="0"/>
            </w:pPr>
            <w:r>
              <w:rPr>
                <w:sz w:val="20"/>
              </w:rPr>
              <w:t xml:space="preserve">Заместитель главы администрации Старооскольского городского округа по социальному развитию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50.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Ханина</w:t>
            </w:r>
          </w:p>
          <w:p>
            <w:pPr>
              <w:pStyle w:val="0"/>
            </w:pPr>
            <w:r>
              <w:rPr>
                <w:sz w:val="20"/>
              </w:rPr>
              <w:t xml:space="preserve">Ирина Юрьевна</w:t>
            </w:r>
          </w:p>
        </w:tc>
        <w:tc>
          <w:tcPr>
            <w:tcW w:w="6463" w:type="dxa"/>
          </w:tcPr>
          <w:p>
            <w:pPr>
              <w:pStyle w:val="0"/>
            </w:pPr>
            <w:r>
              <w:rPr>
                <w:sz w:val="20"/>
              </w:rPr>
              <w:t xml:space="preserve">Главный врач ОГБУЗ "Алексеевская ЦРБ"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51.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Часовская Галина Николаевна</w:t>
            </w:r>
          </w:p>
        </w:tc>
        <w:tc>
          <w:tcPr>
            <w:tcW w:w="6463" w:type="dxa"/>
          </w:tcPr>
          <w:p>
            <w:pPr>
              <w:pStyle w:val="0"/>
            </w:pPr>
            <w:r>
              <w:rPr>
                <w:sz w:val="20"/>
              </w:rPr>
              <w:t xml:space="preserve">Заместитель главы администрации Волоконовского района по социальной политике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52.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Чефонова Елена Анатольевна</w:t>
            </w:r>
          </w:p>
        </w:tc>
        <w:tc>
          <w:tcPr>
            <w:tcW w:w="6463" w:type="dxa"/>
          </w:tcPr>
          <w:p>
            <w:pPr>
              <w:pStyle w:val="0"/>
            </w:pPr>
            <w:r>
              <w:rPr>
                <w:sz w:val="20"/>
              </w:rPr>
              <w:t xml:space="preserve">Заместитель главы администрации Ракитянского района по социальной политике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53.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Чефранова Жанна Юрьевна</w:t>
            </w:r>
          </w:p>
        </w:tc>
        <w:tc>
          <w:tcPr>
            <w:tcW w:w="6463" w:type="dxa"/>
          </w:tcPr>
          <w:p>
            <w:pPr>
              <w:pStyle w:val="0"/>
            </w:pPr>
            <w:r>
              <w:rPr>
                <w:sz w:val="20"/>
              </w:rPr>
              <w:t xml:space="preserve">Главный врач ОГБУЗ "Белгородская областная клиническая больница Святителя Иоасафа"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54.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Шабарина</w:t>
            </w:r>
          </w:p>
          <w:p>
            <w:pPr>
              <w:pStyle w:val="0"/>
            </w:pPr>
            <w:r>
              <w:rPr>
                <w:sz w:val="20"/>
              </w:rPr>
              <w:t xml:space="preserve">Александра Ивановна</w:t>
            </w:r>
          </w:p>
        </w:tc>
        <w:tc>
          <w:tcPr>
            <w:tcW w:w="6463" w:type="dxa"/>
          </w:tcPr>
          <w:p>
            <w:pPr>
              <w:pStyle w:val="0"/>
            </w:pPr>
            <w:r>
              <w:rPr>
                <w:sz w:val="20"/>
              </w:rPr>
              <w:t xml:space="preserve">Заместитель главы администрации Вейделевского района по социальной политике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55.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Шаталов</w:t>
            </w:r>
          </w:p>
          <w:p>
            <w:pPr>
              <w:pStyle w:val="0"/>
            </w:pPr>
            <w:r>
              <w:rPr>
                <w:sz w:val="20"/>
              </w:rPr>
              <w:t xml:space="preserve">Николай Михайлович</w:t>
            </w:r>
          </w:p>
        </w:tc>
        <w:tc>
          <w:tcPr>
            <w:tcW w:w="6463" w:type="dxa"/>
          </w:tcPr>
          <w:p>
            <w:pPr>
              <w:pStyle w:val="0"/>
            </w:pPr>
            <w:r>
              <w:rPr>
                <w:sz w:val="20"/>
              </w:rPr>
              <w:t xml:space="preserve">Председатель Белгородского областного объединения организаций профсоюзов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56.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Шишкина Ирина Юрьевна</w:t>
            </w:r>
          </w:p>
        </w:tc>
        <w:tc>
          <w:tcPr>
            <w:tcW w:w="6463" w:type="dxa"/>
          </w:tcPr>
          <w:p>
            <w:pPr>
              <w:pStyle w:val="0"/>
            </w:pPr>
            <w:r>
              <w:rPr>
                <w:sz w:val="20"/>
              </w:rPr>
              <w:t xml:space="preserve">Начальник отдела организации медицинской помощи детям, службы родовспоможения департамента здравоохранения и социальной защиты населения Белгородской области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57.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Шкилева</w:t>
            </w:r>
          </w:p>
          <w:p>
            <w:pPr>
              <w:pStyle w:val="0"/>
            </w:pPr>
            <w:r>
              <w:rPr>
                <w:sz w:val="20"/>
              </w:rPr>
              <w:t xml:space="preserve">Светлана Николаевна</w:t>
            </w:r>
          </w:p>
        </w:tc>
        <w:tc>
          <w:tcPr>
            <w:tcW w:w="6463" w:type="dxa"/>
          </w:tcPr>
          <w:p>
            <w:pPr>
              <w:pStyle w:val="0"/>
            </w:pPr>
            <w:r>
              <w:rPr>
                <w:sz w:val="20"/>
              </w:rPr>
              <w:t xml:space="preserve">Главный врач ОГБУЗ "Краснояружская ЦРБ"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58.</w:t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0"/>
              </w:rPr>
              <w:t xml:space="preserve">Щибрик</w:t>
            </w:r>
          </w:p>
          <w:p>
            <w:pPr>
              <w:pStyle w:val="0"/>
            </w:pPr>
            <w:r>
              <w:rPr>
                <w:sz w:val="20"/>
              </w:rPr>
              <w:t xml:space="preserve">Елена Валерьевна</w:t>
            </w:r>
          </w:p>
        </w:tc>
        <w:tc>
          <w:tcPr>
            <w:tcW w:w="6463" w:type="dxa"/>
          </w:tcPr>
          <w:p>
            <w:pPr>
              <w:pStyle w:val="0"/>
            </w:pPr>
            <w:r>
              <w:rPr>
                <w:sz w:val="20"/>
              </w:rPr>
              <w:t xml:space="preserve">Начальник отдела организации медицинской помощи взрослому населению департамента здравоохранения и социальной защиты населения Белгородской области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11. Финансовое обеспечение Программы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Финансирование мероприятий Программы осуществляется в рамках реализации </w:t>
      </w:r>
      <w:hyperlink w:history="0" r:id="rId16" w:tooltip="Постановление Правительства Белгородской обл. от 16.12.2013 N 524-пп (ред. от 25.12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подпрограммы 1</w:t>
        </w:r>
      </w:hyperlink>
      <w:r>
        <w:rPr>
          <w:sz w:val="20"/>
        </w:rPr>
        <w:t xml:space="preserve"> "Профилактика заболеваний и формирование здорового образа жизни" государственной программы "Развитие здравоохранения Белгородской области", утвержденной постановлением Правительства Белгородской области от 16 декабря 2013 года N 524-пп.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25.02.2020 N 60-пп</w:t>
            <w:br/>
            <w:t>(ред. от 26.04.2021)</w:t>
            <w:br/>
            <w:t>"Об утверждении программы Белго...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25.02.2020 N 60-пп</w:t>
            <w:br/>
            <w:t>(ред. от 26.04.2021)</w:t>
            <w:br/>
            <w:t>"Об утверждении программы Белго...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RLAW404&amp;n=79298&amp;dst=100005" TargetMode = "External"/>
	<Relationship Id="rId8" Type="http://schemas.openxmlformats.org/officeDocument/2006/relationships/hyperlink" Target="https://login.consultant.ru/link/?req=doc&amp;base=RLAW404&amp;n=79298&amp;dst=100006" TargetMode = "External"/>
	<Relationship Id="rId9" Type="http://schemas.openxmlformats.org/officeDocument/2006/relationships/hyperlink" Target="https://login.consultant.ru/link/?req=doc&amp;base=RLAW404&amp;n=97110&amp;dst=155333" TargetMode = "External"/>
	<Relationship Id="rId10" Type="http://schemas.openxmlformats.org/officeDocument/2006/relationships/hyperlink" Target="https://login.consultant.ru/link/?req=doc&amp;base=LAW&amp;n=2875" TargetMode = "External"/>
	<Relationship Id="rId11" Type="http://schemas.openxmlformats.org/officeDocument/2006/relationships/header" Target="header2.xml"/>
	<Relationship Id="rId12" Type="http://schemas.openxmlformats.org/officeDocument/2006/relationships/footer" Target="footer2.xml"/>
	<Relationship Id="rId13" Type="http://schemas.openxmlformats.org/officeDocument/2006/relationships/hyperlink" Target="https://login.consultant.ru/link/?req=doc&amp;base=RLAW404&amp;n=89265" TargetMode = "External"/>
	<Relationship Id="rId14" Type="http://schemas.openxmlformats.org/officeDocument/2006/relationships/hyperlink" Target="https://login.consultant.ru/link/?req=doc&amp;base=RLAW404&amp;n=79298&amp;dst=100006" TargetMode = "External"/>
	<Relationship Id="rId15" Type="http://schemas.openxmlformats.org/officeDocument/2006/relationships/hyperlink" Target="https://login.consultant.ru/link/?req=doc&amp;base=RLAW404&amp;n=79298&amp;dst=100111" TargetMode = "External"/>
	<Relationship Id="rId16" Type="http://schemas.openxmlformats.org/officeDocument/2006/relationships/hyperlink" Target="https://login.consultant.ru/link/?req=doc&amp;base=RLAW404&amp;n=97110&amp;dst=155333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foot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25.02.2020 N 60-пп
(ред. от 26.04.2021)
"Об утверждении программы Белгородской области "Укрепление общественного здоровья на 2020 - 2024 годы"</dc:title>
  <dcterms:created xsi:type="dcterms:W3CDTF">2024-04-24T09:04:57Z</dcterms:created>
</cp:coreProperties>
</file>